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C73B6" w14:textId="77777777" w:rsidR="00805042" w:rsidRPr="00805042" w:rsidRDefault="00805042" w:rsidP="00805042">
      <w:pPr>
        <w:spacing w:after="0" w:line="240" w:lineRule="auto"/>
        <w:rPr>
          <w:rFonts w:ascii="Times New Roman" w:hAnsi="Times New Roman" w:cs="Times New Roman"/>
          <w:b/>
        </w:rPr>
      </w:pPr>
      <w:bookmarkStart w:id="0" w:name="Problematika_Penggunaan_Bahasa_Indonesia"/>
      <w:bookmarkStart w:id="1" w:name="_Hlk121364977"/>
      <w:bookmarkEnd w:id="0"/>
      <w:bookmarkEnd w:id="1"/>
      <w:r w:rsidRPr="00805042">
        <w:rPr>
          <w:rFonts w:ascii="Times New Roman" w:hAnsi="Times New Roman" w:cs="Times New Roman"/>
          <w:b/>
        </w:rPr>
        <w:t>Madani:</w:t>
      </w:r>
      <w:r w:rsidRPr="00805042">
        <w:rPr>
          <w:rFonts w:ascii="Times New Roman" w:hAnsi="Times New Roman" w:cs="Times New Roman"/>
          <w:b/>
          <w:spacing w:val="-1"/>
        </w:rPr>
        <w:t xml:space="preserve"> </w:t>
      </w:r>
      <w:r w:rsidRPr="00805042">
        <w:rPr>
          <w:rFonts w:ascii="Times New Roman" w:hAnsi="Times New Roman" w:cs="Times New Roman"/>
          <w:b/>
        </w:rPr>
        <w:t>Jurnal</w:t>
      </w:r>
      <w:r w:rsidRPr="00805042">
        <w:rPr>
          <w:rFonts w:ascii="Times New Roman" w:hAnsi="Times New Roman" w:cs="Times New Roman"/>
          <w:b/>
          <w:spacing w:val="-2"/>
        </w:rPr>
        <w:t xml:space="preserve"> </w:t>
      </w:r>
      <w:r w:rsidRPr="00805042">
        <w:rPr>
          <w:rFonts w:ascii="Times New Roman" w:hAnsi="Times New Roman" w:cs="Times New Roman"/>
          <w:b/>
        </w:rPr>
        <w:t>Ilmiah</w:t>
      </w:r>
      <w:r w:rsidRPr="00805042">
        <w:rPr>
          <w:rFonts w:ascii="Times New Roman" w:hAnsi="Times New Roman" w:cs="Times New Roman"/>
          <w:b/>
          <w:spacing w:val="-3"/>
        </w:rPr>
        <w:t xml:space="preserve"> </w:t>
      </w:r>
      <w:r w:rsidRPr="00805042">
        <w:rPr>
          <w:rFonts w:ascii="Times New Roman" w:hAnsi="Times New Roman" w:cs="Times New Roman"/>
          <w:b/>
        </w:rPr>
        <w:t>Multidisiplin</w:t>
      </w:r>
    </w:p>
    <w:p w14:paraId="08BFE8D5" w14:textId="77777777" w:rsidR="00805042" w:rsidRPr="00805042" w:rsidRDefault="00805042" w:rsidP="00805042">
      <w:pPr>
        <w:spacing w:after="0" w:line="240" w:lineRule="auto"/>
        <w:rPr>
          <w:rFonts w:ascii="Times New Roman" w:hAnsi="Times New Roman" w:cs="Times New Roman"/>
          <w:b/>
          <w:lang w:val="id-ID"/>
        </w:rPr>
      </w:pPr>
      <w:r w:rsidRPr="00805042">
        <w:rPr>
          <w:rFonts w:ascii="Times New Roman" w:hAnsi="Times New Roman" w:cs="Times New Roman"/>
          <w:b/>
        </w:rPr>
        <w:t>Volume 1, Nomor 10, November 2023</w:t>
      </w:r>
    </w:p>
    <w:p w14:paraId="4553F371" w14:textId="77777777" w:rsidR="00805042" w:rsidRPr="00805042" w:rsidRDefault="00805042" w:rsidP="00805042">
      <w:pPr>
        <w:spacing w:after="0" w:line="240" w:lineRule="auto"/>
        <w:rPr>
          <w:rFonts w:ascii="Times New Roman" w:hAnsi="Times New Roman" w:cs="Times New Roman"/>
          <w:b/>
        </w:rPr>
      </w:pPr>
      <w:r w:rsidRPr="00805042">
        <w:rPr>
          <w:rFonts w:ascii="Times New Roman" w:hAnsi="Times New Roman" w:cs="Times New Roman"/>
          <w:b/>
          <w:spacing w:val="-52"/>
        </w:rPr>
        <w:t xml:space="preserve"> </w:t>
      </w:r>
      <w:r w:rsidRPr="00805042">
        <w:rPr>
          <w:rFonts w:ascii="Times New Roman" w:hAnsi="Times New Roman" w:cs="Times New Roman"/>
          <w:b/>
        </w:rPr>
        <w:t>Licenced</w:t>
      </w:r>
      <w:r w:rsidRPr="00805042">
        <w:rPr>
          <w:rFonts w:ascii="Times New Roman" w:hAnsi="Times New Roman" w:cs="Times New Roman"/>
          <w:b/>
          <w:spacing w:val="-1"/>
        </w:rPr>
        <w:t xml:space="preserve"> </w:t>
      </w:r>
      <w:r w:rsidRPr="00805042">
        <w:rPr>
          <w:rFonts w:ascii="Times New Roman" w:hAnsi="Times New Roman" w:cs="Times New Roman"/>
          <w:b/>
        </w:rPr>
        <w:t>by CC</w:t>
      </w:r>
      <w:r w:rsidRPr="00805042">
        <w:rPr>
          <w:rFonts w:ascii="Times New Roman" w:hAnsi="Times New Roman" w:cs="Times New Roman"/>
          <w:b/>
          <w:spacing w:val="-4"/>
        </w:rPr>
        <w:t xml:space="preserve"> </w:t>
      </w:r>
      <w:r w:rsidRPr="00805042">
        <w:rPr>
          <w:rFonts w:ascii="Times New Roman" w:hAnsi="Times New Roman" w:cs="Times New Roman"/>
          <w:b/>
        </w:rPr>
        <w:t>BY-SA</w:t>
      </w:r>
      <w:r w:rsidRPr="00805042">
        <w:rPr>
          <w:rFonts w:ascii="Times New Roman" w:hAnsi="Times New Roman" w:cs="Times New Roman"/>
          <w:b/>
          <w:spacing w:val="-2"/>
        </w:rPr>
        <w:t xml:space="preserve"> </w:t>
      </w:r>
      <w:r w:rsidRPr="00805042">
        <w:rPr>
          <w:rFonts w:ascii="Times New Roman" w:hAnsi="Times New Roman" w:cs="Times New Roman"/>
          <w:b/>
        </w:rPr>
        <w:t>4.0</w:t>
      </w:r>
      <w:r w:rsidRPr="00805042">
        <w:rPr>
          <w:rFonts w:ascii="Times New Roman" w:hAnsi="Times New Roman" w:cs="Times New Roman"/>
          <w:b/>
        </w:rPr>
        <w:tab/>
      </w:r>
    </w:p>
    <w:p w14:paraId="40AF1B81" w14:textId="77777777" w:rsidR="00805042" w:rsidRPr="00805042" w:rsidRDefault="00805042" w:rsidP="00805042">
      <w:pPr>
        <w:tabs>
          <w:tab w:val="left" w:pos="3405"/>
        </w:tabs>
        <w:spacing w:after="0" w:line="240" w:lineRule="auto"/>
        <w:rPr>
          <w:rFonts w:ascii="Times New Roman" w:hAnsi="Times New Roman" w:cs="Times New Roman"/>
          <w:lang w:val="id-ID"/>
        </w:rPr>
      </w:pPr>
      <w:r w:rsidRPr="00805042">
        <w:rPr>
          <w:rFonts w:ascii="Times New Roman" w:hAnsi="Times New Roman" w:cs="Times New Roman"/>
          <w:b/>
        </w:rPr>
        <w:t>E-ISSN:</w:t>
      </w:r>
      <w:r w:rsidRPr="00805042">
        <w:rPr>
          <w:rFonts w:ascii="Times New Roman" w:hAnsi="Times New Roman" w:cs="Times New Roman"/>
          <w:b/>
          <w:spacing w:val="-1"/>
        </w:rPr>
        <w:t xml:space="preserve"> </w:t>
      </w:r>
      <w:hyperlink r:id="rId8">
        <w:r w:rsidRPr="00805042">
          <w:rPr>
            <w:rFonts w:ascii="Times New Roman" w:hAnsi="Times New Roman" w:cs="Times New Roman"/>
            <w:color w:val="0000FF"/>
            <w:u w:val="single" w:color="0000FF"/>
          </w:rPr>
          <w:t>2986-6340</w:t>
        </w:r>
      </w:hyperlink>
      <w:r w:rsidRPr="00805042">
        <w:rPr>
          <w:rFonts w:ascii="Times New Roman" w:hAnsi="Times New Roman" w:cs="Times New Roman"/>
          <w:color w:val="0000FF"/>
        </w:rPr>
        <w:tab/>
      </w:r>
      <w:r w:rsidRPr="00805042">
        <w:rPr>
          <w:rFonts w:ascii="Times New Roman" w:hAnsi="Times New Roman" w:cs="Times New Roman"/>
          <w:color w:val="0000FF"/>
          <w:lang w:val="id-ID"/>
        </w:rPr>
        <w:t xml:space="preserve"> </w:t>
      </w:r>
    </w:p>
    <w:p w14:paraId="18BEFB75" w14:textId="3F8AA912" w:rsidR="00805042" w:rsidRPr="006E7DEE" w:rsidRDefault="00805042" w:rsidP="00805042">
      <w:pPr>
        <w:shd w:val="clear" w:color="auto" w:fill="FFFFFF"/>
        <w:spacing w:after="0" w:line="240" w:lineRule="auto"/>
        <w:rPr>
          <w:rFonts w:ascii="Times New Roman" w:hAnsi="Times New Roman" w:cs="Times New Roman"/>
          <w:b/>
          <w:bCs/>
          <w:shd w:val="clear" w:color="auto" w:fill="FFFFFF"/>
          <w:lang w:val="id-ID"/>
        </w:rPr>
      </w:pPr>
      <w:r w:rsidRPr="00805042">
        <w:rPr>
          <w:rFonts w:ascii="Times New Roman" w:hAnsi="Times New Roman" w:cs="Times New Roman"/>
          <w:b/>
        </w:rPr>
        <w:t>DOI</w:t>
      </w:r>
      <w:r w:rsidRPr="00805042">
        <w:rPr>
          <w:rFonts w:ascii="Times New Roman" w:hAnsi="Times New Roman" w:cs="Times New Roman"/>
        </w:rPr>
        <w:t>:</w:t>
      </w:r>
      <w:r w:rsidRPr="00805042">
        <w:rPr>
          <w:rFonts w:ascii="Times New Roman" w:hAnsi="Times New Roman" w:cs="Times New Roman"/>
          <w:spacing w:val="-5"/>
        </w:rPr>
        <w:t xml:space="preserve"> </w:t>
      </w:r>
      <w:hyperlink r:id="rId9" w:history="1">
        <w:r w:rsidR="006E7DEE" w:rsidRPr="006E7DEE">
          <w:rPr>
            <w:rStyle w:val="Hyperlink"/>
            <w:rFonts w:ascii="Times New Roman" w:hAnsi="Times New Roman" w:cs="Times New Roman"/>
          </w:rPr>
          <w:t>https://doi.org/</w:t>
        </w:r>
        <w:r w:rsidR="006E7DEE" w:rsidRPr="006E7DEE">
          <w:rPr>
            <w:rStyle w:val="Hyperlink"/>
            <w:rFonts w:ascii="Times New Roman" w:hAnsi="Times New Roman" w:cs="Times New Roman"/>
            <w:bCs/>
            <w:shd w:val="clear" w:color="auto" w:fill="FFFFFF"/>
          </w:rPr>
          <w:t>10.5281/zenodo.10149140</w:t>
        </w:r>
      </w:hyperlink>
      <w:r w:rsidR="006E7DEE">
        <w:rPr>
          <w:rFonts w:ascii="Helvetica" w:hAnsi="Helvetica" w:cs="Helvetica"/>
          <w:b/>
          <w:bCs/>
          <w:sz w:val="20"/>
          <w:szCs w:val="20"/>
          <w:shd w:val="clear" w:color="auto" w:fill="FFFFFF"/>
          <w:lang w:val="id-ID"/>
        </w:rPr>
        <w:t xml:space="preserve"> </w:t>
      </w:r>
    </w:p>
    <w:p w14:paraId="71C177F1" w14:textId="77777777" w:rsidR="00805042" w:rsidRPr="00805042" w:rsidRDefault="00805042" w:rsidP="00805042">
      <w:pPr>
        <w:spacing w:after="0" w:line="240" w:lineRule="auto"/>
        <w:jc w:val="center"/>
        <w:rPr>
          <w:rFonts w:ascii="Times New Roman" w:eastAsia="Times New Roman" w:hAnsi="Times New Roman" w:cs="Times New Roman"/>
          <w:b/>
          <w:sz w:val="16"/>
          <w:szCs w:val="16"/>
          <w:lang w:val="id-ID"/>
        </w:rPr>
      </w:pPr>
      <w:bookmarkStart w:id="2" w:name="_GoBack"/>
      <w:bookmarkEnd w:id="2"/>
    </w:p>
    <w:p w14:paraId="00000001" w14:textId="6B89E42E" w:rsidR="003768E2" w:rsidRPr="00805042" w:rsidRDefault="008874A9" w:rsidP="00805042">
      <w:pPr>
        <w:spacing w:after="0" w:line="240" w:lineRule="auto"/>
        <w:jc w:val="center"/>
        <w:rPr>
          <w:rFonts w:ascii="Times New Roman" w:eastAsia="Times New Roman" w:hAnsi="Times New Roman" w:cs="Times New Roman"/>
          <w:b/>
          <w:sz w:val="28"/>
          <w:szCs w:val="28"/>
        </w:rPr>
      </w:pPr>
      <w:r w:rsidRPr="00805042">
        <w:rPr>
          <w:rFonts w:ascii="Times New Roman" w:eastAsia="Times New Roman" w:hAnsi="Times New Roman" w:cs="Times New Roman"/>
          <w:b/>
          <w:sz w:val="28"/>
          <w:szCs w:val="28"/>
        </w:rPr>
        <w:t>Analisis Yuridis Pelaksanaan Peradilan Koneksitas Dalam</w:t>
      </w:r>
      <w:r w:rsidR="006E7DEE">
        <w:rPr>
          <w:rFonts w:ascii="Times New Roman" w:eastAsia="Times New Roman" w:hAnsi="Times New Roman" w:cs="Times New Roman"/>
          <w:b/>
          <w:sz w:val="28"/>
          <w:szCs w:val="28"/>
        </w:rPr>
        <w:t xml:space="preserve"> Hukum Acara Peradilan Militer </w:t>
      </w:r>
      <w:r w:rsidR="006E7DEE">
        <w:rPr>
          <w:rFonts w:ascii="Times New Roman" w:eastAsia="Times New Roman" w:hAnsi="Times New Roman" w:cs="Times New Roman"/>
          <w:b/>
          <w:sz w:val="28"/>
          <w:szCs w:val="28"/>
          <w:lang w:val="id-ID"/>
        </w:rPr>
        <w:t>d</w:t>
      </w:r>
      <w:r w:rsidRPr="00805042">
        <w:rPr>
          <w:rFonts w:ascii="Times New Roman" w:eastAsia="Times New Roman" w:hAnsi="Times New Roman" w:cs="Times New Roman"/>
          <w:b/>
          <w:sz w:val="28"/>
          <w:szCs w:val="28"/>
        </w:rPr>
        <w:t>i Indonesia</w:t>
      </w:r>
    </w:p>
    <w:p w14:paraId="5A780196" w14:textId="77777777" w:rsidR="00805042" w:rsidRPr="00805042" w:rsidRDefault="00805042" w:rsidP="00805042">
      <w:pPr>
        <w:spacing w:after="0" w:line="240" w:lineRule="auto"/>
        <w:jc w:val="center"/>
        <w:rPr>
          <w:rFonts w:ascii="Times New Roman" w:eastAsia="Times New Roman" w:hAnsi="Times New Roman" w:cs="Times New Roman"/>
          <w:sz w:val="16"/>
          <w:szCs w:val="16"/>
          <w:lang w:val="id-ID"/>
        </w:rPr>
      </w:pPr>
    </w:p>
    <w:p w14:paraId="00000002" w14:textId="0428E024" w:rsidR="003768E2" w:rsidRPr="00805042" w:rsidRDefault="00805042" w:rsidP="00805042">
      <w:pPr>
        <w:spacing w:after="0" w:line="240" w:lineRule="auto"/>
        <w:jc w:val="center"/>
        <w:rPr>
          <w:rFonts w:ascii="Times New Roman" w:eastAsia="Times New Roman" w:hAnsi="Times New Roman" w:cs="Times New Roman"/>
          <w:b/>
          <w:sz w:val="24"/>
          <w:szCs w:val="24"/>
          <w:vertAlign w:val="superscript"/>
          <w:lang w:val="id-ID"/>
        </w:rPr>
      </w:pPr>
      <w:r w:rsidRPr="00805042">
        <w:rPr>
          <w:rFonts w:ascii="Times New Roman" w:eastAsia="Times New Roman" w:hAnsi="Times New Roman" w:cs="Times New Roman"/>
          <w:b/>
          <w:sz w:val="24"/>
          <w:szCs w:val="24"/>
        </w:rPr>
        <w:t>Diva Pramesti Islami</w:t>
      </w:r>
      <w:r w:rsidRPr="00805042">
        <w:rPr>
          <w:rFonts w:ascii="Times New Roman" w:eastAsia="Times New Roman" w:hAnsi="Times New Roman" w:cs="Times New Roman"/>
          <w:b/>
          <w:sz w:val="24"/>
          <w:szCs w:val="24"/>
          <w:vertAlign w:val="superscript"/>
          <w:lang w:val="id-ID"/>
        </w:rPr>
        <w:t>1</w:t>
      </w:r>
      <w:r w:rsidRPr="00805042">
        <w:rPr>
          <w:rFonts w:ascii="Times New Roman" w:eastAsia="Times New Roman" w:hAnsi="Times New Roman" w:cs="Times New Roman"/>
          <w:b/>
          <w:sz w:val="24"/>
          <w:szCs w:val="24"/>
        </w:rPr>
        <w:t>, Irwan Triadi</w:t>
      </w:r>
      <w:r w:rsidRPr="00805042">
        <w:rPr>
          <w:rFonts w:ascii="Times New Roman" w:eastAsia="Times New Roman" w:hAnsi="Times New Roman" w:cs="Times New Roman"/>
          <w:b/>
          <w:sz w:val="24"/>
          <w:szCs w:val="24"/>
          <w:vertAlign w:val="superscript"/>
          <w:lang w:val="id-ID"/>
        </w:rPr>
        <w:t>2</w:t>
      </w:r>
    </w:p>
    <w:p w14:paraId="00000003" w14:textId="1F5637B0" w:rsidR="003768E2" w:rsidRPr="00805042" w:rsidRDefault="00805042" w:rsidP="008050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lang w:val="id-ID"/>
        </w:rPr>
        <w:t>1,2</w:t>
      </w:r>
      <w:r w:rsidR="008874A9" w:rsidRPr="00805042">
        <w:rPr>
          <w:rFonts w:ascii="Times New Roman" w:eastAsia="Times New Roman" w:hAnsi="Times New Roman" w:cs="Times New Roman"/>
          <w:sz w:val="24"/>
          <w:szCs w:val="24"/>
        </w:rPr>
        <w:t>Fakultas Hukum, Universitas Pembangunan Nasional Veteran Jakarta</w:t>
      </w:r>
    </w:p>
    <w:p w14:paraId="00000007" w14:textId="0FD730E6" w:rsidR="003768E2" w:rsidRPr="00805042" w:rsidRDefault="008874A9" w:rsidP="00805042">
      <w:pPr>
        <w:spacing w:after="0" w:line="240" w:lineRule="auto"/>
        <w:jc w:val="center"/>
        <w:rPr>
          <w:rFonts w:ascii="Times New Roman" w:eastAsia="Times New Roman" w:hAnsi="Times New Roman" w:cs="Times New Roman"/>
          <w:sz w:val="24"/>
          <w:szCs w:val="24"/>
        </w:rPr>
      </w:pPr>
      <w:r w:rsidRPr="00805042">
        <w:rPr>
          <w:rFonts w:ascii="Times New Roman" w:eastAsia="Times New Roman" w:hAnsi="Times New Roman" w:cs="Times New Roman"/>
          <w:sz w:val="24"/>
          <w:szCs w:val="24"/>
        </w:rPr>
        <w:t xml:space="preserve">E-mail: </w:t>
      </w:r>
      <w:hyperlink r:id="rId10">
        <w:r w:rsidR="00805042" w:rsidRPr="00805042">
          <w:rPr>
            <w:rFonts w:ascii="Times New Roman" w:eastAsia="Times New Roman" w:hAnsi="Times New Roman" w:cs="Times New Roman"/>
            <w:color w:val="1155CC"/>
            <w:sz w:val="24"/>
            <w:szCs w:val="24"/>
            <w:u w:val="single"/>
          </w:rPr>
          <w:t>2110611228@mahasiswa.upnvj.ac.id</w:t>
        </w:r>
      </w:hyperlink>
      <w:r w:rsidR="00805042">
        <w:rPr>
          <w:rFonts w:ascii="Times New Roman" w:eastAsia="Times New Roman" w:hAnsi="Times New Roman" w:cs="Times New Roman"/>
          <w:color w:val="1155CC"/>
          <w:sz w:val="24"/>
          <w:szCs w:val="24"/>
          <w:u w:val="single"/>
          <w:vertAlign w:val="superscript"/>
          <w:lang w:val="id-ID"/>
        </w:rPr>
        <w:t>1</w:t>
      </w:r>
      <w:r w:rsidR="00805042">
        <w:rPr>
          <w:rFonts w:ascii="Times New Roman" w:eastAsia="Times New Roman" w:hAnsi="Times New Roman" w:cs="Times New Roman"/>
          <w:color w:val="1155CC"/>
          <w:sz w:val="24"/>
          <w:szCs w:val="24"/>
          <w:u w:val="single"/>
          <w:lang w:val="id-ID"/>
        </w:rPr>
        <w:t>,</w:t>
      </w:r>
      <w:r w:rsidR="00805042" w:rsidRPr="00805042">
        <w:rPr>
          <w:rFonts w:ascii="Times New Roman" w:eastAsia="Times New Roman" w:hAnsi="Times New Roman" w:cs="Times New Roman"/>
          <w:sz w:val="24"/>
          <w:szCs w:val="24"/>
        </w:rPr>
        <w:t xml:space="preserve"> </w:t>
      </w:r>
      <w:hyperlink r:id="rId11">
        <w:r w:rsidRPr="00805042">
          <w:rPr>
            <w:rFonts w:ascii="Times New Roman" w:eastAsia="Times New Roman" w:hAnsi="Times New Roman" w:cs="Times New Roman"/>
            <w:color w:val="1155CC"/>
            <w:sz w:val="24"/>
            <w:szCs w:val="24"/>
            <w:u w:val="single"/>
          </w:rPr>
          <w:t>irwantriadi1</w:t>
        </w:r>
        <w:r w:rsidRPr="00805042">
          <w:rPr>
            <w:rFonts w:ascii="Times New Roman" w:eastAsia="Times New Roman" w:hAnsi="Times New Roman" w:cs="Times New Roman"/>
            <w:color w:val="1155CC"/>
            <w:sz w:val="24"/>
            <w:szCs w:val="24"/>
            <w:u w:val="single"/>
          </w:rPr>
          <w:t>@yahoo.com</w:t>
        </w:r>
      </w:hyperlink>
      <w:r w:rsidR="00805042">
        <w:rPr>
          <w:rFonts w:ascii="Times New Roman" w:eastAsia="Times New Roman" w:hAnsi="Times New Roman" w:cs="Times New Roman"/>
          <w:color w:val="1155CC"/>
          <w:sz w:val="24"/>
          <w:szCs w:val="24"/>
          <w:u w:val="single"/>
          <w:vertAlign w:val="superscript"/>
          <w:lang w:val="id-ID"/>
        </w:rPr>
        <w:t>2</w:t>
      </w:r>
      <w:r w:rsidRPr="00805042">
        <w:rPr>
          <w:rFonts w:ascii="Times New Roman" w:eastAsia="Times New Roman" w:hAnsi="Times New Roman" w:cs="Times New Roman"/>
          <w:sz w:val="24"/>
          <w:szCs w:val="24"/>
        </w:rPr>
        <w:t xml:space="preserve">  </w:t>
      </w:r>
    </w:p>
    <w:p w14:paraId="00000008" w14:textId="77777777" w:rsidR="003768E2" w:rsidRPr="00805042" w:rsidRDefault="003768E2" w:rsidP="00805042">
      <w:pPr>
        <w:spacing w:after="0" w:line="240" w:lineRule="auto"/>
        <w:rPr>
          <w:rFonts w:ascii="Times New Roman" w:eastAsia="Times New Roman" w:hAnsi="Times New Roman" w:cs="Times New Roman"/>
          <w:sz w:val="24"/>
          <w:szCs w:val="24"/>
        </w:rPr>
      </w:pPr>
    </w:p>
    <w:p w14:paraId="00000009" w14:textId="77777777" w:rsidR="003768E2" w:rsidRPr="00805042" w:rsidRDefault="008874A9" w:rsidP="00805042">
      <w:pPr>
        <w:spacing w:after="0" w:line="240" w:lineRule="auto"/>
        <w:jc w:val="center"/>
        <w:rPr>
          <w:rFonts w:ascii="Times New Roman" w:eastAsia="Times New Roman" w:hAnsi="Times New Roman" w:cs="Times New Roman"/>
          <w:b/>
        </w:rPr>
      </w:pPr>
      <w:r w:rsidRPr="00805042">
        <w:rPr>
          <w:rFonts w:ascii="Times New Roman" w:eastAsia="Times New Roman" w:hAnsi="Times New Roman" w:cs="Times New Roman"/>
          <w:b/>
        </w:rPr>
        <w:t>Abstrak</w:t>
      </w:r>
    </w:p>
    <w:p w14:paraId="0000000A" w14:textId="77777777" w:rsidR="003768E2" w:rsidRPr="00805042" w:rsidRDefault="008874A9" w:rsidP="00805042">
      <w:pPr>
        <w:spacing w:after="0" w:line="240" w:lineRule="auto"/>
        <w:jc w:val="both"/>
        <w:rPr>
          <w:rFonts w:ascii="Times New Roman" w:eastAsia="Times New Roman" w:hAnsi="Times New Roman" w:cs="Times New Roman"/>
        </w:rPr>
      </w:pPr>
      <w:proofErr w:type="gramStart"/>
      <w:r w:rsidRPr="00805042">
        <w:rPr>
          <w:rFonts w:ascii="Times New Roman" w:eastAsia="Times New Roman" w:hAnsi="Times New Roman" w:cs="Times New Roman"/>
        </w:rPr>
        <w:t xml:space="preserve">Kemampuan pengadilan umum untuk mengadili kasus-kasus yang melibatkan kejahatan yang dilakukan baik oleh personel militer maupun warga sipil merupakan pengecualian atau penyimpangan dari aturan bahwa seseorang harus diadili di setiap </w:t>
      </w:r>
      <w:r w:rsidRPr="00805042">
        <w:rPr>
          <w:rFonts w:ascii="Times New Roman" w:eastAsia="Times New Roman" w:hAnsi="Times New Roman" w:cs="Times New Roman"/>
        </w:rPr>
        <w:t>pengadilan.</w:t>
      </w:r>
      <w:proofErr w:type="gramEnd"/>
      <w:r w:rsidRPr="00805042">
        <w:rPr>
          <w:rFonts w:ascii="Times New Roman" w:eastAsia="Times New Roman" w:hAnsi="Times New Roman" w:cs="Times New Roman"/>
        </w:rPr>
        <w:t xml:space="preserve"> Pasal 3 dan 4 Undang-Undang Nomor 5 Tahun 1950 yang mengatur tentang kewenangan peradilan militer dan dikaitkan dengan topik tindak pidana (kejahatan dan pelanggaran), memberi kita gambaran sekilas tentang pentingnya keterkaitan. </w:t>
      </w:r>
      <w:proofErr w:type="gramStart"/>
      <w:r w:rsidRPr="00805042">
        <w:rPr>
          <w:rFonts w:ascii="Times New Roman" w:eastAsia="Times New Roman" w:hAnsi="Times New Roman" w:cs="Times New Roman"/>
        </w:rPr>
        <w:t>Secara umum ke</w:t>
      </w:r>
      <w:r w:rsidRPr="00805042">
        <w:rPr>
          <w:rFonts w:ascii="Times New Roman" w:eastAsia="Times New Roman" w:hAnsi="Times New Roman" w:cs="Times New Roman"/>
        </w:rPr>
        <w:t>tentuan umum berlaku terhadap semua perkara yang ditangani bersama oleh peradilan militer yang dapat dibenarkan dan peradilan militer yang tidak dapat dibenarkan, kecuali jika terdapat persyaratan khusus.</w:t>
      </w:r>
      <w:proofErr w:type="gramEnd"/>
      <w:r w:rsidRPr="00805042">
        <w:rPr>
          <w:rFonts w:ascii="Times New Roman" w:eastAsia="Times New Roman" w:hAnsi="Times New Roman" w:cs="Times New Roman"/>
        </w:rPr>
        <w:t xml:space="preserve"> Misalnya, kerugian yang disebabkan oleh kegiatan il</w:t>
      </w:r>
      <w:r w:rsidRPr="00805042">
        <w:rPr>
          <w:rFonts w:ascii="Times New Roman" w:eastAsia="Times New Roman" w:hAnsi="Times New Roman" w:cs="Times New Roman"/>
        </w:rPr>
        <w:t xml:space="preserve">egal </w:t>
      </w:r>
      <w:proofErr w:type="gramStart"/>
      <w:r w:rsidRPr="00805042">
        <w:rPr>
          <w:rFonts w:ascii="Times New Roman" w:eastAsia="Times New Roman" w:hAnsi="Times New Roman" w:cs="Times New Roman"/>
        </w:rPr>
        <w:t>akan</w:t>
      </w:r>
      <w:proofErr w:type="gramEnd"/>
      <w:r w:rsidRPr="00805042">
        <w:rPr>
          <w:rFonts w:ascii="Times New Roman" w:eastAsia="Times New Roman" w:hAnsi="Times New Roman" w:cs="Times New Roman"/>
        </w:rPr>
        <w:t xml:space="preserve"> lebih tepat ditangani melalui peradilan militer, asalkan Mahkamah Agung telah memberikan persetujuannya agar perkara tersebut diadili di pengadilan militer.</w:t>
      </w:r>
    </w:p>
    <w:p w14:paraId="0000000B" w14:textId="23083D6B" w:rsidR="003768E2" w:rsidRPr="00805042" w:rsidRDefault="00805042" w:rsidP="00805042">
      <w:pPr>
        <w:spacing w:after="0" w:line="240" w:lineRule="auto"/>
        <w:jc w:val="both"/>
        <w:rPr>
          <w:rFonts w:ascii="Times New Roman" w:eastAsia="Times New Roman" w:hAnsi="Times New Roman" w:cs="Times New Roman"/>
          <w:b/>
        </w:rPr>
      </w:pPr>
      <w:r w:rsidRPr="00805042">
        <w:rPr>
          <w:rFonts w:ascii="Times New Roman" w:eastAsia="Times New Roman" w:hAnsi="Times New Roman" w:cs="Times New Roman"/>
          <w:b/>
        </w:rPr>
        <w:t>Kata Kunci</w:t>
      </w:r>
      <w:r w:rsidR="008874A9" w:rsidRPr="00805042">
        <w:rPr>
          <w:rFonts w:ascii="Times New Roman" w:eastAsia="Times New Roman" w:hAnsi="Times New Roman" w:cs="Times New Roman"/>
          <w:b/>
        </w:rPr>
        <w:t xml:space="preserve">: </w:t>
      </w:r>
      <w:r w:rsidR="008874A9" w:rsidRPr="00805042">
        <w:rPr>
          <w:rFonts w:ascii="Times New Roman" w:eastAsia="Times New Roman" w:hAnsi="Times New Roman" w:cs="Times New Roman"/>
          <w:i/>
        </w:rPr>
        <w:t>Pengadilan Militer, Koneksitas, Indonesia</w:t>
      </w:r>
    </w:p>
    <w:p w14:paraId="0E9FDA4F" w14:textId="77777777" w:rsidR="00805042" w:rsidRDefault="00805042" w:rsidP="00805042">
      <w:pPr>
        <w:spacing w:after="0" w:line="240" w:lineRule="auto"/>
        <w:jc w:val="center"/>
        <w:rPr>
          <w:rFonts w:ascii="Times New Roman" w:eastAsia="Times New Roman" w:hAnsi="Times New Roman" w:cs="Times New Roman"/>
          <w:b/>
          <w:i/>
          <w:lang w:val="id-ID"/>
        </w:rPr>
      </w:pPr>
    </w:p>
    <w:p w14:paraId="0000000C" w14:textId="77777777" w:rsidR="003768E2" w:rsidRPr="00805042" w:rsidRDefault="008874A9" w:rsidP="00805042">
      <w:pPr>
        <w:spacing w:after="0" w:line="240" w:lineRule="auto"/>
        <w:jc w:val="center"/>
        <w:rPr>
          <w:rFonts w:ascii="Times New Roman" w:eastAsia="Times New Roman" w:hAnsi="Times New Roman" w:cs="Times New Roman"/>
          <w:b/>
          <w:i/>
        </w:rPr>
      </w:pPr>
      <w:r w:rsidRPr="00805042">
        <w:rPr>
          <w:rFonts w:ascii="Times New Roman" w:eastAsia="Times New Roman" w:hAnsi="Times New Roman" w:cs="Times New Roman"/>
          <w:b/>
          <w:i/>
        </w:rPr>
        <w:t>Abstract</w:t>
      </w:r>
    </w:p>
    <w:p w14:paraId="0000000D" w14:textId="77777777" w:rsidR="003768E2" w:rsidRPr="00805042" w:rsidRDefault="008874A9" w:rsidP="00805042">
      <w:pPr>
        <w:spacing w:after="0" w:line="240" w:lineRule="auto"/>
        <w:jc w:val="both"/>
        <w:rPr>
          <w:rFonts w:ascii="Times New Roman" w:eastAsia="Times New Roman" w:hAnsi="Times New Roman" w:cs="Times New Roman"/>
          <w:i/>
        </w:rPr>
      </w:pPr>
      <w:r w:rsidRPr="00805042">
        <w:rPr>
          <w:rFonts w:ascii="Times New Roman" w:eastAsia="Times New Roman" w:hAnsi="Times New Roman" w:cs="Times New Roman"/>
          <w:i/>
        </w:rPr>
        <w:t>The ability of general courts to try cases involving crimes committed by both military personnel and civilians is an exception or deviation from the rule that a person must be tried in every court. Articles 3 and 4 of Law Number 5 of 1950 which regulate th</w:t>
      </w:r>
      <w:r w:rsidRPr="00805042">
        <w:rPr>
          <w:rFonts w:ascii="Times New Roman" w:eastAsia="Times New Roman" w:hAnsi="Times New Roman" w:cs="Times New Roman"/>
          <w:i/>
        </w:rPr>
        <w:t xml:space="preserve">e authority of military justice and are linked to the topic of criminal acts (crimes and violations), give us a glimpse of the importance of the relationship. In general, general provisions apply to all cases handled jointly by military courts that can be </w:t>
      </w:r>
      <w:r w:rsidRPr="00805042">
        <w:rPr>
          <w:rFonts w:ascii="Times New Roman" w:eastAsia="Times New Roman" w:hAnsi="Times New Roman" w:cs="Times New Roman"/>
          <w:i/>
        </w:rPr>
        <w:t>justified and military courts that cannot be justified, unless there are special requirements. For example, losses caused by illegal activities would be more appropriately handled through military justice, provided that the Supreme Court has given its appr</w:t>
      </w:r>
      <w:r w:rsidRPr="00805042">
        <w:rPr>
          <w:rFonts w:ascii="Times New Roman" w:eastAsia="Times New Roman" w:hAnsi="Times New Roman" w:cs="Times New Roman"/>
          <w:i/>
        </w:rPr>
        <w:t>oval for the case to be tried in a military court</w:t>
      </w:r>
    </w:p>
    <w:p w14:paraId="0000000E" w14:textId="2F780B62" w:rsidR="003768E2" w:rsidRDefault="00805042" w:rsidP="00805042">
      <w:pPr>
        <w:spacing w:after="0" w:line="240" w:lineRule="auto"/>
        <w:jc w:val="both"/>
        <w:rPr>
          <w:rFonts w:ascii="Times New Roman" w:eastAsia="Times New Roman" w:hAnsi="Times New Roman" w:cs="Times New Roman"/>
          <w:i/>
          <w:lang w:val="id-ID"/>
        </w:rPr>
      </w:pPr>
      <w:r w:rsidRPr="00805042">
        <w:rPr>
          <w:rFonts w:ascii="Times New Roman" w:eastAsia="Times New Roman" w:hAnsi="Times New Roman" w:cs="Times New Roman"/>
          <w:b/>
          <w:i/>
        </w:rPr>
        <w:t>Keywords</w:t>
      </w:r>
      <w:r w:rsidR="008874A9" w:rsidRPr="00805042">
        <w:rPr>
          <w:rFonts w:ascii="Times New Roman" w:eastAsia="Times New Roman" w:hAnsi="Times New Roman" w:cs="Times New Roman"/>
          <w:b/>
          <w:i/>
        </w:rPr>
        <w:t xml:space="preserve">: </w:t>
      </w:r>
      <w:r w:rsidR="008874A9" w:rsidRPr="00805042">
        <w:rPr>
          <w:rFonts w:ascii="Times New Roman" w:eastAsia="Times New Roman" w:hAnsi="Times New Roman" w:cs="Times New Roman"/>
          <w:i/>
        </w:rPr>
        <w:t>Military Court, Connectivity, Indonesia</w:t>
      </w:r>
    </w:p>
    <w:p w14:paraId="47FCA36F" w14:textId="77777777" w:rsidR="00805042" w:rsidRPr="00805042" w:rsidRDefault="00805042" w:rsidP="00805042">
      <w:pPr>
        <w:spacing w:after="0" w:line="240" w:lineRule="auto"/>
        <w:jc w:val="both"/>
        <w:rPr>
          <w:rFonts w:ascii="Times New Roman" w:eastAsia="Times New Roman" w:hAnsi="Times New Roman" w:cs="Times New Roman"/>
          <w:b/>
          <w:i/>
          <w:lang w:val="id-ID"/>
        </w:rPr>
      </w:pPr>
    </w:p>
    <w:tbl>
      <w:tblPr>
        <w:tblW w:w="9072" w:type="dxa"/>
        <w:tblInd w:w="108" w:type="dxa"/>
        <w:tblBorders>
          <w:top w:val="single" w:sz="4" w:space="0" w:color="000000"/>
          <w:insideH w:val="nil"/>
          <w:insideV w:val="nil"/>
        </w:tblBorders>
        <w:tblLayout w:type="fixed"/>
        <w:tblLook w:val="04A0" w:firstRow="1" w:lastRow="0" w:firstColumn="1" w:lastColumn="0" w:noHBand="0" w:noVBand="1"/>
      </w:tblPr>
      <w:tblGrid>
        <w:gridCol w:w="2694"/>
        <w:gridCol w:w="2835"/>
        <w:gridCol w:w="3543"/>
      </w:tblGrid>
      <w:tr w:rsidR="00805042" w:rsidRPr="00F1507C" w14:paraId="0190177E" w14:textId="77777777" w:rsidTr="00805042">
        <w:trPr>
          <w:trHeight w:val="212"/>
        </w:trPr>
        <w:tc>
          <w:tcPr>
            <w:tcW w:w="9072" w:type="dxa"/>
            <w:gridSpan w:val="3"/>
            <w:tcBorders>
              <w:top w:val="single" w:sz="4" w:space="0" w:color="000000"/>
              <w:left w:val="nil"/>
              <w:bottom w:val="nil"/>
              <w:right w:val="nil"/>
            </w:tcBorders>
            <w:hideMark/>
          </w:tcPr>
          <w:p w14:paraId="4815A60D" w14:textId="77777777" w:rsidR="00805042" w:rsidRPr="00F1507C" w:rsidRDefault="00805042" w:rsidP="001E03A5">
            <w:pPr>
              <w:tabs>
                <w:tab w:val="left" w:pos="8787"/>
              </w:tabs>
              <w:spacing w:after="0" w:line="240" w:lineRule="auto"/>
              <w:ind w:leftChars="-1" w:right="6" w:hangingChars="1" w:hanging="2"/>
              <w:rPr>
                <w:rFonts w:ascii="Times New Roman" w:hAnsi="Times New Roman" w:cs="Times New Roman"/>
                <w:sz w:val="18"/>
                <w:szCs w:val="18"/>
              </w:rPr>
            </w:pPr>
            <w:r w:rsidRPr="00F1507C">
              <w:rPr>
                <w:rFonts w:ascii="Times New Roman" w:hAnsi="Times New Roman" w:cs="Times New Roman"/>
                <w:b/>
                <w:sz w:val="18"/>
                <w:szCs w:val="18"/>
              </w:rPr>
              <w:t>Article Info</w:t>
            </w:r>
          </w:p>
        </w:tc>
      </w:tr>
      <w:tr w:rsidR="00805042" w:rsidRPr="00F1507C" w14:paraId="6DA0AC3D" w14:textId="77777777" w:rsidTr="00805042">
        <w:trPr>
          <w:trHeight w:val="268"/>
        </w:trPr>
        <w:tc>
          <w:tcPr>
            <w:tcW w:w="2694" w:type="dxa"/>
            <w:tcBorders>
              <w:top w:val="nil"/>
              <w:left w:val="nil"/>
              <w:bottom w:val="nil"/>
              <w:right w:val="nil"/>
            </w:tcBorders>
            <w:hideMark/>
          </w:tcPr>
          <w:p w14:paraId="0FE1FD4A" w14:textId="77777777" w:rsidR="00805042" w:rsidRPr="00F1507C" w:rsidRDefault="00805042" w:rsidP="001E03A5">
            <w:pPr>
              <w:tabs>
                <w:tab w:val="left" w:pos="8787"/>
              </w:tabs>
              <w:spacing w:after="0" w:line="240" w:lineRule="auto"/>
              <w:ind w:right="-2"/>
              <w:rPr>
                <w:rFonts w:ascii="Times New Roman" w:hAnsi="Times New Roman" w:cs="Times New Roman"/>
                <w:sz w:val="18"/>
                <w:szCs w:val="18"/>
              </w:rPr>
            </w:pPr>
            <w:r w:rsidRPr="00F1507C">
              <w:rPr>
                <w:rFonts w:ascii="Times New Roman" w:hAnsi="Times New Roman" w:cs="Times New Roman"/>
                <w:sz w:val="18"/>
                <w:szCs w:val="18"/>
              </w:rPr>
              <w:t>Received date: 25 October 2023</w:t>
            </w:r>
          </w:p>
        </w:tc>
        <w:tc>
          <w:tcPr>
            <w:tcW w:w="2835" w:type="dxa"/>
            <w:tcBorders>
              <w:top w:val="nil"/>
              <w:left w:val="nil"/>
              <w:bottom w:val="nil"/>
              <w:right w:val="nil"/>
            </w:tcBorders>
            <w:hideMark/>
          </w:tcPr>
          <w:p w14:paraId="6BBEC26B" w14:textId="77777777" w:rsidR="00805042" w:rsidRPr="00F1507C" w:rsidRDefault="00805042" w:rsidP="001E03A5">
            <w:pPr>
              <w:tabs>
                <w:tab w:val="left" w:pos="8787"/>
              </w:tabs>
              <w:spacing w:after="0" w:line="240" w:lineRule="auto"/>
              <w:ind w:right="-2"/>
              <w:rPr>
                <w:rFonts w:ascii="Times New Roman" w:hAnsi="Times New Roman" w:cs="Times New Roman"/>
                <w:sz w:val="18"/>
                <w:szCs w:val="18"/>
              </w:rPr>
            </w:pPr>
            <w:r w:rsidRPr="00F1507C">
              <w:rPr>
                <w:rFonts w:ascii="Times New Roman" w:hAnsi="Times New Roman" w:cs="Times New Roman"/>
                <w:sz w:val="18"/>
                <w:szCs w:val="18"/>
              </w:rPr>
              <w:t xml:space="preserve"> </w:t>
            </w:r>
            <w:r>
              <w:rPr>
                <w:rFonts w:ascii="Times New Roman" w:hAnsi="Times New Roman" w:cs="Times New Roman"/>
                <w:sz w:val="18"/>
                <w:szCs w:val="18"/>
                <w:lang w:val="id-ID"/>
              </w:rPr>
              <w:t xml:space="preserve">      </w:t>
            </w:r>
            <w:r w:rsidRPr="00F1507C">
              <w:rPr>
                <w:rFonts w:ascii="Times New Roman" w:hAnsi="Times New Roman" w:cs="Times New Roman"/>
                <w:sz w:val="18"/>
                <w:szCs w:val="18"/>
              </w:rPr>
              <w:t>Revised date: 30 October. 2023</w:t>
            </w:r>
          </w:p>
        </w:tc>
        <w:tc>
          <w:tcPr>
            <w:tcW w:w="3543" w:type="dxa"/>
            <w:tcBorders>
              <w:top w:val="nil"/>
              <w:left w:val="nil"/>
              <w:bottom w:val="nil"/>
              <w:right w:val="nil"/>
            </w:tcBorders>
            <w:hideMark/>
          </w:tcPr>
          <w:p w14:paraId="1035739B" w14:textId="4216BC28" w:rsidR="00805042" w:rsidRPr="00F1507C" w:rsidRDefault="00805042" w:rsidP="001E03A5">
            <w:pPr>
              <w:tabs>
                <w:tab w:val="left" w:pos="8787"/>
              </w:tabs>
              <w:spacing w:after="0" w:line="240" w:lineRule="auto"/>
              <w:ind w:left="175" w:right="-2"/>
              <w:rPr>
                <w:rFonts w:ascii="Times New Roman" w:hAnsi="Times New Roman" w:cs="Times New Roman"/>
                <w:sz w:val="18"/>
                <w:szCs w:val="18"/>
              </w:rPr>
            </w:pPr>
            <w:r>
              <w:rPr>
                <w:rFonts w:ascii="Times New Roman" w:hAnsi="Times New Roman" w:cs="Times New Roman"/>
                <w:sz w:val="18"/>
                <w:szCs w:val="18"/>
                <w:lang w:val="id-ID"/>
              </w:rPr>
              <w:t xml:space="preserve">  </w:t>
            </w:r>
            <w:r>
              <w:rPr>
                <w:rFonts w:ascii="Times New Roman" w:hAnsi="Times New Roman" w:cs="Times New Roman"/>
                <w:sz w:val="18"/>
                <w:szCs w:val="18"/>
                <w:lang w:val="id-ID"/>
              </w:rPr>
              <w:t xml:space="preserve">      </w:t>
            </w:r>
            <w:r w:rsidRPr="00F1507C">
              <w:rPr>
                <w:rFonts w:ascii="Times New Roman" w:hAnsi="Times New Roman" w:cs="Times New Roman"/>
                <w:sz w:val="18"/>
                <w:szCs w:val="18"/>
              </w:rPr>
              <w:t xml:space="preserve">Accepted date:  </w:t>
            </w:r>
            <w:r>
              <w:rPr>
                <w:sz w:val="18"/>
                <w:szCs w:val="18"/>
                <w:lang w:val="id-ID"/>
              </w:rPr>
              <w:t>14</w:t>
            </w:r>
            <w:r w:rsidRPr="00F1507C">
              <w:rPr>
                <w:rFonts w:ascii="Times New Roman" w:hAnsi="Times New Roman" w:cs="Times New Roman"/>
                <w:sz w:val="18"/>
                <w:szCs w:val="18"/>
              </w:rPr>
              <w:t xml:space="preserve"> November 2023</w:t>
            </w:r>
          </w:p>
        </w:tc>
      </w:tr>
    </w:tbl>
    <w:p w14:paraId="0000000F" w14:textId="77777777" w:rsidR="003768E2" w:rsidRPr="00805042" w:rsidRDefault="003768E2" w:rsidP="00805042">
      <w:pPr>
        <w:spacing w:after="0" w:line="240" w:lineRule="auto"/>
        <w:jc w:val="both"/>
        <w:rPr>
          <w:rFonts w:ascii="Times New Roman" w:eastAsia="Times New Roman" w:hAnsi="Times New Roman" w:cs="Times New Roman"/>
          <w:b/>
          <w:sz w:val="24"/>
          <w:szCs w:val="24"/>
        </w:rPr>
      </w:pPr>
    </w:p>
    <w:p w14:paraId="00000010" w14:textId="77777777" w:rsidR="003768E2" w:rsidRPr="00805042" w:rsidRDefault="008874A9" w:rsidP="00805042">
      <w:pPr>
        <w:spacing w:after="0" w:line="240" w:lineRule="auto"/>
        <w:jc w:val="both"/>
        <w:rPr>
          <w:rFonts w:ascii="Times New Roman" w:eastAsia="Times New Roman" w:hAnsi="Times New Roman" w:cs="Times New Roman"/>
          <w:b/>
          <w:sz w:val="24"/>
          <w:szCs w:val="24"/>
        </w:rPr>
      </w:pPr>
      <w:r w:rsidRPr="00805042">
        <w:rPr>
          <w:rFonts w:ascii="Times New Roman" w:eastAsia="Times New Roman" w:hAnsi="Times New Roman" w:cs="Times New Roman"/>
          <w:b/>
          <w:sz w:val="24"/>
          <w:szCs w:val="24"/>
        </w:rPr>
        <w:t>PENDAHULUAN</w:t>
      </w:r>
    </w:p>
    <w:p w14:paraId="00000011" w14:textId="77777777" w:rsidR="003768E2" w:rsidRPr="00805042" w:rsidRDefault="008874A9" w:rsidP="006E7DEE">
      <w:pPr>
        <w:spacing w:after="0" w:line="240" w:lineRule="auto"/>
        <w:ind w:firstLine="567"/>
        <w:jc w:val="both"/>
        <w:rPr>
          <w:rFonts w:ascii="Times New Roman" w:eastAsia="Times New Roman" w:hAnsi="Times New Roman" w:cs="Times New Roman"/>
          <w:sz w:val="24"/>
          <w:szCs w:val="24"/>
        </w:rPr>
      </w:pPr>
      <w:proofErr w:type="gramStart"/>
      <w:r w:rsidRPr="00805042">
        <w:rPr>
          <w:rFonts w:ascii="Times New Roman" w:eastAsia="Times New Roman" w:hAnsi="Times New Roman" w:cs="Times New Roman"/>
          <w:sz w:val="24"/>
          <w:szCs w:val="24"/>
        </w:rPr>
        <w:t>Kita tidak bisa mengesampingkan potensi bahwa personel TNI atau militer dapat melakukan kejahatan bersama warga sipil dalam kehidupan kita seh</w:t>
      </w:r>
      <w:r w:rsidRPr="00805042">
        <w:rPr>
          <w:rFonts w:ascii="Times New Roman" w:eastAsia="Times New Roman" w:hAnsi="Times New Roman" w:cs="Times New Roman"/>
          <w:sz w:val="24"/>
          <w:szCs w:val="24"/>
        </w:rPr>
        <w:t>ari-hari.</w:t>
      </w:r>
      <w:proofErr w:type="gramEnd"/>
      <w:r w:rsidRPr="00805042">
        <w:rPr>
          <w:rFonts w:ascii="Times New Roman" w:eastAsia="Times New Roman" w:hAnsi="Times New Roman" w:cs="Times New Roman"/>
          <w:sz w:val="24"/>
          <w:szCs w:val="24"/>
        </w:rPr>
        <w:t xml:space="preserve"> Pengadilan Negeri, sebagai pengadilan yang bergerak di bidang peradilan umum, wajib mengadili kejahatan yang dilakukan oleh anggota masyarakat sipil. </w:t>
      </w:r>
      <w:proofErr w:type="gramStart"/>
      <w:r w:rsidRPr="00805042">
        <w:rPr>
          <w:rFonts w:ascii="Times New Roman" w:eastAsia="Times New Roman" w:hAnsi="Times New Roman" w:cs="Times New Roman"/>
          <w:sz w:val="24"/>
          <w:szCs w:val="24"/>
        </w:rPr>
        <w:t>Sementara itu, pengadilan militer yang beroperasi dalam kerangka peradilan militer harus mengadi</w:t>
      </w:r>
      <w:r w:rsidRPr="00805042">
        <w:rPr>
          <w:rFonts w:ascii="Times New Roman" w:eastAsia="Times New Roman" w:hAnsi="Times New Roman" w:cs="Times New Roman"/>
          <w:sz w:val="24"/>
          <w:szCs w:val="24"/>
        </w:rPr>
        <w:t>li mereka yang bertanggung jawab atas kejahatan yang dilakukan oleh militer.</w:t>
      </w:r>
      <w:proofErr w:type="gramEnd"/>
      <w:r w:rsidRPr="00805042">
        <w:rPr>
          <w:rFonts w:ascii="Times New Roman" w:eastAsia="Times New Roman" w:hAnsi="Times New Roman" w:cs="Times New Roman"/>
          <w:sz w:val="24"/>
          <w:szCs w:val="24"/>
          <w:vertAlign w:val="superscript"/>
        </w:rPr>
        <w:footnoteReference w:id="1"/>
      </w:r>
    </w:p>
    <w:p w14:paraId="00000012" w14:textId="77777777" w:rsidR="003768E2" w:rsidRPr="00805042" w:rsidRDefault="008874A9" w:rsidP="006E7DEE">
      <w:pPr>
        <w:spacing w:after="0" w:line="240" w:lineRule="auto"/>
        <w:ind w:firstLine="567"/>
        <w:jc w:val="both"/>
        <w:rPr>
          <w:rFonts w:ascii="Times New Roman" w:eastAsia="Times New Roman" w:hAnsi="Times New Roman" w:cs="Times New Roman"/>
          <w:sz w:val="24"/>
          <w:szCs w:val="24"/>
        </w:rPr>
      </w:pPr>
      <w:proofErr w:type="gramStart"/>
      <w:r w:rsidRPr="00805042">
        <w:rPr>
          <w:rFonts w:ascii="Times New Roman" w:eastAsia="Times New Roman" w:hAnsi="Times New Roman" w:cs="Times New Roman"/>
          <w:sz w:val="24"/>
          <w:szCs w:val="24"/>
        </w:rPr>
        <w:t>Pengadilan yang disebut keadilan konektivitas mempunyai tanggung jawab untuk menentukan apakah suatu tindak pidana, baik tindak pidana biasa maupun tindak pidana khusus seperti t</w:t>
      </w:r>
      <w:r w:rsidRPr="00805042">
        <w:rPr>
          <w:rFonts w:ascii="Times New Roman" w:eastAsia="Times New Roman" w:hAnsi="Times New Roman" w:cs="Times New Roman"/>
          <w:sz w:val="24"/>
          <w:szCs w:val="24"/>
        </w:rPr>
        <w:t>indak pidana korupsi, dilakukan secara bersama-sama oleh masyarakat sipil dan TNI.</w:t>
      </w:r>
      <w:proofErr w:type="gramEnd"/>
      <w:r w:rsidRPr="00805042">
        <w:rPr>
          <w:rFonts w:ascii="Times New Roman" w:eastAsia="Times New Roman" w:hAnsi="Times New Roman" w:cs="Times New Roman"/>
          <w:sz w:val="24"/>
          <w:szCs w:val="24"/>
        </w:rPr>
        <w:t xml:space="preserve"> </w:t>
      </w:r>
      <w:proofErr w:type="gramStart"/>
      <w:r w:rsidRPr="00805042">
        <w:rPr>
          <w:rFonts w:ascii="Times New Roman" w:eastAsia="Times New Roman" w:hAnsi="Times New Roman" w:cs="Times New Roman"/>
          <w:sz w:val="24"/>
          <w:szCs w:val="24"/>
        </w:rPr>
        <w:t xml:space="preserve">Suatu tindak pidana yang melibatkan tersangka atau terdakwa (ikut serta, </w:t>
      </w:r>
      <w:r w:rsidRPr="00805042">
        <w:rPr>
          <w:rFonts w:ascii="Times New Roman" w:eastAsia="Times New Roman" w:hAnsi="Times New Roman" w:cs="Times New Roman"/>
          <w:sz w:val="24"/>
          <w:szCs w:val="24"/>
        </w:rPr>
        <w:lastRenderedPageBreak/>
        <w:t>deelneming) atau bersama-sama (mededader) antara warga sipil dengan yang berstatus militer (tentara)</w:t>
      </w:r>
      <w:r w:rsidRPr="00805042">
        <w:rPr>
          <w:rFonts w:ascii="Times New Roman" w:eastAsia="Times New Roman" w:hAnsi="Times New Roman" w:cs="Times New Roman"/>
          <w:sz w:val="24"/>
          <w:szCs w:val="24"/>
        </w:rPr>
        <w:t xml:space="preserve"> dikenakan pemeriksaan keterhubungan atau sidang keterhubungan.</w:t>
      </w:r>
      <w:proofErr w:type="gramEnd"/>
      <w:r w:rsidRPr="00805042">
        <w:rPr>
          <w:rFonts w:ascii="Times New Roman" w:eastAsia="Times New Roman" w:hAnsi="Times New Roman" w:cs="Times New Roman"/>
          <w:sz w:val="24"/>
          <w:szCs w:val="24"/>
        </w:rPr>
        <w:t xml:space="preserve"> </w:t>
      </w:r>
      <w:proofErr w:type="gramStart"/>
      <w:r w:rsidRPr="00805042">
        <w:rPr>
          <w:rFonts w:ascii="Times New Roman" w:eastAsia="Times New Roman" w:hAnsi="Times New Roman" w:cs="Times New Roman"/>
          <w:sz w:val="24"/>
          <w:szCs w:val="24"/>
        </w:rPr>
        <w:t>Andi Hamzah mengartikan keadilan koneksi sebagai kerangka hukum bagi terdakwa yang melakukan kejahatan terhadap orang baik dari kalangan sipil maupun militer.</w:t>
      </w:r>
      <w:proofErr w:type="gramEnd"/>
      <w:r w:rsidRPr="00805042">
        <w:rPr>
          <w:rFonts w:ascii="Times New Roman" w:eastAsia="Times New Roman" w:hAnsi="Times New Roman" w:cs="Times New Roman"/>
          <w:sz w:val="24"/>
          <w:szCs w:val="24"/>
        </w:rPr>
        <w:t xml:space="preserve"> Dengan demikian, dapat ditentukan</w:t>
      </w:r>
      <w:r w:rsidRPr="00805042">
        <w:rPr>
          <w:rFonts w:ascii="Times New Roman" w:eastAsia="Times New Roman" w:hAnsi="Times New Roman" w:cs="Times New Roman"/>
          <w:sz w:val="24"/>
          <w:szCs w:val="24"/>
        </w:rPr>
        <w:t xml:space="preserve"> bahwa kejahatan yang melibatkan kerjasama antara warga negara dan personel militer, yang tercakup dalam Pasal 55 dan 56 KUHP, tentu saja termasuk dalam lingkup keadilan konektivitas.</w:t>
      </w:r>
    </w:p>
    <w:p w14:paraId="00000013" w14:textId="77777777" w:rsidR="003768E2" w:rsidRPr="00805042" w:rsidRDefault="008874A9" w:rsidP="006E7DEE">
      <w:pPr>
        <w:spacing w:after="0" w:line="240" w:lineRule="auto"/>
        <w:ind w:firstLine="567"/>
        <w:jc w:val="both"/>
        <w:rPr>
          <w:rFonts w:ascii="Times New Roman" w:eastAsia="Times New Roman" w:hAnsi="Times New Roman" w:cs="Times New Roman"/>
          <w:sz w:val="24"/>
          <w:szCs w:val="24"/>
        </w:rPr>
      </w:pPr>
      <w:r w:rsidRPr="00805042">
        <w:rPr>
          <w:rFonts w:ascii="Times New Roman" w:eastAsia="Times New Roman" w:hAnsi="Times New Roman" w:cs="Times New Roman"/>
          <w:sz w:val="24"/>
          <w:szCs w:val="24"/>
        </w:rPr>
        <w:t xml:space="preserve">Pengertian konektivitas sebagaimana tercantum dalam Undang-Undang Nomor </w:t>
      </w:r>
      <w:r w:rsidRPr="00805042">
        <w:rPr>
          <w:rFonts w:ascii="Times New Roman" w:eastAsia="Times New Roman" w:hAnsi="Times New Roman" w:cs="Times New Roman"/>
          <w:sz w:val="24"/>
          <w:szCs w:val="24"/>
        </w:rPr>
        <w:t>4 dan Nomor 5 Tahun 2002 merupakan kaidah umum kekuasaan kehakiman Indonesia, yaitu: Perbuatan pidana yang dilakukan secara bersama-sama oleh orang perseorangan yang tunduk pada peradilan militer dan peradilan umum, diadili dan diperiksa oleh peradilan umu</w:t>
      </w:r>
      <w:r w:rsidRPr="00805042">
        <w:rPr>
          <w:rFonts w:ascii="Times New Roman" w:eastAsia="Times New Roman" w:hAnsi="Times New Roman" w:cs="Times New Roman"/>
          <w:sz w:val="24"/>
          <w:szCs w:val="24"/>
        </w:rPr>
        <w:t xml:space="preserve">m, dengan pengecualian sebagaimana ditetapkan oleh Menteri Pertahanan dan Keamanan. </w:t>
      </w:r>
      <w:proofErr w:type="gramStart"/>
      <w:r w:rsidRPr="00805042">
        <w:rPr>
          <w:rFonts w:ascii="Times New Roman" w:eastAsia="Times New Roman" w:hAnsi="Times New Roman" w:cs="Times New Roman"/>
          <w:sz w:val="24"/>
          <w:szCs w:val="24"/>
        </w:rPr>
        <w:t>Atas persetujuan Menteri Kehakiman, pengadilan militer dapat mendengarkan dan mempertimbangkan permasalahan tersebut.</w:t>
      </w:r>
      <w:proofErr w:type="gramEnd"/>
      <w:r w:rsidRPr="00805042">
        <w:rPr>
          <w:rFonts w:ascii="Times New Roman" w:eastAsia="Times New Roman" w:hAnsi="Times New Roman" w:cs="Times New Roman"/>
          <w:sz w:val="24"/>
          <w:szCs w:val="24"/>
        </w:rPr>
        <w:t xml:space="preserve"> </w:t>
      </w:r>
      <w:proofErr w:type="gramStart"/>
      <w:r w:rsidRPr="00805042">
        <w:rPr>
          <w:rFonts w:ascii="Times New Roman" w:eastAsia="Times New Roman" w:hAnsi="Times New Roman" w:cs="Times New Roman"/>
          <w:sz w:val="24"/>
          <w:szCs w:val="24"/>
        </w:rPr>
        <w:t>Connexion berasal dari kata Latin Connexion yang dapat</w:t>
      </w:r>
      <w:r w:rsidRPr="00805042">
        <w:rPr>
          <w:rFonts w:ascii="Times New Roman" w:eastAsia="Times New Roman" w:hAnsi="Times New Roman" w:cs="Times New Roman"/>
          <w:sz w:val="24"/>
          <w:szCs w:val="24"/>
        </w:rPr>
        <w:t xml:space="preserve"> diartikan sebagai suatu tindak pidana yang diperiksa oleh pengadilan dalam lingkungan peradilan umum terhadap orang-orang yang secara bersama-sama melakukan suatu tindak pidana yang termasuk dalam lingkungan peradilan umum dan militer, kecuali kerugian it</w:t>
      </w:r>
      <w:r w:rsidRPr="00805042">
        <w:rPr>
          <w:rFonts w:ascii="Times New Roman" w:eastAsia="Times New Roman" w:hAnsi="Times New Roman" w:cs="Times New Roman"/>
          <w:sz w:val="24"/>
          <w:szCs w:val="24"/>
        </w:rPr>
        <w:t>u disebabkan oleh pelanggaran tersebut,” klaim Andi Hamzah.</w:t>
      </w:r>
      <w:proofErr w:type="gramEnd"/>
      <w:r w:rsidRPr="00805042">
        <w:rPr>
          <w:rFonts w:ascii="Times New Roman" w:eastAsia="Times New Roman" w:hAnsi="Times New Roman" w:cs="Times New Roman"/>
          <w:sz w:val="24"/>
          <w:szCs w:val="24"/>
        </w:rPr>
        <w:t xml:space="preserve"> Peradilan militer </w:t>
      </w:r>
      <w:proofErr w:type="gramStart"/>
      <w:r w:rsidRPr="00805042">
        <w:rPr>
          <w:rFonts w:ascii="Times New Roman" w:eastAsia="Times New Roman" w:hAnsi="Times New Roman" w:cs="Times New Roman"/>
          <w:sz w:val="24"/>
          <w:szCs w:val="24"/>
        </w:rPr>
        <w:t>akan</w:t>
      </w:r>
      <w:proofErr w:type="gramEnd"/>
      <w:r w:rsidRPr="00805042">
        <w:rPr>
          <w:rFonts w:ascii="Times New Roman" w:eastAsia="Times New Roman" w:hAnsi="Times New Roman" w:cs="Times New Roman"/>
          <w:sz w:val="24"/>
          <w:szCs w:val="24"/>
        </w:rPr>
        <w:t xml:space="preserve"> digunakan untuk mengadili kasus tersebut jika berkaitan dengan kepentingan militer.</w:t>
      </w:r>
      <w:r w:rsidRPr="00805042">
        <w:rPr>
          <w:rFonts w:ascii="Times New Roman" w:eastAsia="Times New Roman" w:hAnsi="Times New Roman" w:cs="Times New Roman"/>
          <w:sz w:val="24"/>
          <w:szCs w:val="24"/>
          <w:vertAlign w:val="superscript"/>
        </w:rPr>
        <w:footnoteReference w:id="2"/>
      </w:r>
    </w:p>
    <w:p w14:paraId="00000014" w14:textId="77777777" w:rsidR="003768E2" w:rsidRPr="00805042" w:rsidRDefault="008874A9" w:rsidP="006E7DEE">
      <w:pPr>
        <w:spacing w:after="0" w:line="240" w:lineRule="auto"/>
        <w:ind w:firstLine="567"/>
        <w:jc w:val="both"/>
        <w:rPr>
          <w:rFonts w:ascii="Times New Roman" w:eastAsia="Times New Roman" w:hAnsi="Times New Roman" w:cs="Times New Roman"/>
          <w:sz w:val="24"/>
          <w:szCs w:val="24"/>
        </w:rPr>
      </w:pPr>
      <w:r w:rsidRPr="00805042">
        <w:rPr>
          <w:rFonts w:ascii="Times New Roman" w:eastAsia="Times New Roman" w:hAnsi="Times New Roman" w:cs="Times New Roman"/>
          <w:sz w:val="24"/>
          <w:szCs w:val="24"/>
        </w:rPr>
        <w:t>Pasal 4 Undang-Undang Nomor 5 Tahun 1950 menyatakan: “Kejahatan atau pelanggaran yang di</w:t>
      </w:r>
      <w:r w:rsidRPr="00805042">
        <w:rPr>
          <w:rFonts w:ascii="Times New Roman" w:eastAsia="Times New Roman" w:hAnsi="Times New Roman" w:cs="Times New Roman"/>
          <w:sz w:val="24"/>
          <w:szCs w:val="24"/>
        </w:rPr>
        <w:t xml:space="preserve">lakukan oleh anggota kelompok sebagaimana dimaksud dalam Pasal 3 huruf A, B, dan C bersama-sama dengan orang-orang yang bukan anggota kelompok itu, diadili oleh pengadilan dalam batas waktu yang ditentukan. </w:t>
      </w:r>
      <w:proofErr w:type="gramStart"/>
      <w:r w:rsidRPr="00805042">
        <w:rPr>
          <w:rFonts w:ascii="Times New Roman" w:eastAsia="Times New Roman" w:hAnsi="Times New Roman" w:cs="Times New Roman"/>
          <w:sz w:val="24"/>
          <w:szCs w:val="24"/>
        </w:rPr>
        <w:t>lingkungan</w:t>
      </w:r>
      <w:proofErr w:type="gramEnd"/>
      <w:r w:rsidRPr="00805042">
        <w:rPr>
          <w:rFonts w:ascii="Times New Roman" w:eastAsia="Times New Roman" w:hAnsi="Times New Roman" w:cs="Times New Roman"/>
          <w:sz w:val="24"/>
          <w:szCs w:val="24"/>
        </w:rPr>
        <w:t xml:space="preserve"> peradilan umum, kecuali perkara terseb</w:t>
      </w:r>
      <w:r w:rsidRPr="00805042">
        <w:rPr>
          <w:rFonts w:ascii="Times New Roman" w:eastAsia="Times New Roman" w:hAnsi="Times New Roman" w:cs="Times New Roman"/>
          <w:sz w:val="24"/>
          <w:szCs w:val="24"/>
        </w:rPr>
        <w:t>ut perlu diadili oleh pengadilan dalam sistem peradilan militer, yang ditetapkan oleh Menteri Pertahanan dengan persetujuan Menteri Kehakiman.</w:t>
      </w:r>
    </w:p>
    <w:p w14:paraId="00000015" w14:textId="77777777" w:rsidR="003768E2" w:rsidRPr="00805042" w:rsidRDefault="008874A9" w:rsidP="006E7DEE">
      <w:pPr>
        <w:spacing w:after="0" w:line="240" w:lineRule="auto"/>
        <w:ind w:firstLine="567"/>
        <w:jc w:val="both"/>
        <w:rPr>
          <w:rFonts w:ascii="Times New Roman" w:eastAsia="Times New Roman" w:hAnsi="Times New Roman" w:cs="Times New Roman"/>
          <w:sz w:val="24"/>
          <w:szCs w:val="24"/>
        </w:rPr>
      </w:pPr>
      <w:proofErr w:type="gramStart"/>
      <w:r w:rsidRPr="00805042">
        <w:rPr>
          <w:rFonts w:ascii="Times New Roman" w:eastAsia="Times New Roman" w:hAnsi="Times New Roman" w:cs="Times New Roman"/>
          <w:sz w:val="24"/>
          <w:szCs w:val="24"/>
        </w:rPr>
        <w:t>Secara umum ketentuan umum berlaku terhadap semua perkara yang ditangani bersama oleh peradilan militer yang dapa</w:t>
      </w:r>
      <w:r w:rsidRPr="00805042">
        <w:rPr>
          <w:rFonts w:ascii="Times New Roman" w:eastAsia="Times New Roman" w:hAnsi="Times New Roman" w:cs="Times New Roman"/>
          <w:sz w:val="24"/>
          <w:szCs w:val="24"/>
        </w:rPr>
        <w:t>t dibenarkan dan peradilan militer yang tidak dapat dibenarkan, kecuali jika terdapat persyaratan khusus.</w:t>
      </w:r>
      <w:proofErr w:type="gramEnd"/>
      <w:r w:rsidRPr="00805042">
        <w:rPr>
          <w:rFonts w:ascii="Times New Roman" w:eastAsia="Times New Roman" w:hAnsi="Times New Roman" w:cs="Times New Roman"/>
          <w:sz w:val="24"/>
          <w:szCs w:val="24"/>
        </w:rPr>
        <w:t xml:space="preserve"> Misalnya saja, kerugian yang disebabkan oleh kegiatan ilegal </w:t>
      </w:r>
      <w:proofErr w:type="gramStart"/>
      <w:r w:rsidRPr="00805042">
        <w:rPr>
          <w:rFonts w:ascii="Times New Roman" w:eastAsia="Times New Roman" w:hAnsi="Times New Roman" w:cs="Times New Roman"/>
          <w:sz w:val="24"/>
          <w:szCs w:val="24"/>
        </w:rPr>
        <w:t>akan</w:t>
      </w:r>
      <w:proofErr w:type="gramEnd"/>
      <w:r w:rsidRPr="00805042">
        <w:rPr>
          <w:rFonts w:ascii="Times New Roman" w:eastAsia="Times New Roman" w:hAnsi="Times New Roman" w:cs="Times New Roman"/>
          <w:sz w:val="24"/>
          <w:szCs w:val="24"/>
        </w:rPr>
        <w:t xml:space="preserve"> lebih tepat ditangani melalui peradilan militer, asalkan Menteri Kehakiman telah mem</w:t>
      </w:r>
      <w:r w:rsidRPr="00805042">
        <w:rPr>
          <w:rFonts w:ascii="Times New Roman" w:eastAsia="Times New Roman" w:hAnsi="Times New Roman" w:cs="Times New Roman"/>
          <w:sz w:val="24"/>
          <w:szCs w:val="24"/>
        </w:rPr>
        <w:t xml:space="preserve">berikan persetujuannya agar perkara tersebut diadili di pengadilan militer. </w:t>
      </w:r>
      <w:proofErr w:type="gramStart"/>
      <w:r w:rsidRPr="00805042">
        <w:rPr>
          <w:rFonts w:ascii="Times New Roman" w:eastAsia="Times New Roman" w:hAnsi="Times New Roman" w:cs="Times New Roman"/>
          <w:sz w:val="24"/>
          <w:szCs w:val="24"/>
        </w:rPr>
        <w:t>Namun, kenyataannya tidak selalu demikian.</w:t>
      </w:r>
      <w:proofErr w:type="gramEnd"/>
      <w:r w:rsidRPr="00805042">
        <w:rPr>
          <w:rFonts w:ascii="Times New Roman" w:eastAsia="Times New Roman" w:hAnsi="Times New Roman" w:cs="Times New Roman"/>
          <w:sz w:val="24"/>
          <w:szCs w:val="24"/>
        </w:rPr>
        <w:t xml:space="preserve"> </w:t>
      </w:r>
      <w:proofErr w:type="gramStart"/>
      <w:r w:rsidRPr="00805042">
        <w:rPr>
          <w:rFonts w:ascii="Times New Roman" w:eastAsia="Times New Roman" w:hAnsi="Times New Roman" w:cs="Times New Roman"/>
          <w:sz w:val="24"/>
          <w:szCs w:val="24"/>
        </w:rPr>
        <w:t>Karena seringkali kasus-kasus yang menyangkut hubungan disidangkan secara independen, kasus-kasus peradilan militer disidangkan oleh peng</w:t>
      </w:r>
      <w:r w:rsidRPr="00805042">
        <w:rPr>
          <w:rFonts w:ascii="Times New Roman" w:eastAsia="Times New Roman" w:hAnsi="Times New Roman" w:cs="Times New Roman"/>
          <w:sz w:val="24"/>
          <w:szCs w:val="24"/>
        </w:rPr>
        <w:t>adilan militer dan kasus-kasus non-peradilan militer disidangkan oleh pengadilan biasa.</w:t>
      </w:r>
      <w:proofErr w:type="gramEnd"/>
    </w:p>
    <w:p w14:paraId="00000016" w14:textId="77777777" w:rsidR="003768E2" w:rsidRPr="00805042" w:rsidRDefault="008874A9" w:rsidP="006E7DEE">
      <w:pPr>
        <w:spacing w:after="0" w:line="240" w:lineRule="auto"/>
        <w:ind w:firstLine="567"/>
        <w:jc w:val="both"/>
        <w:rPr>
          <w:rFonts w:ascii="Times New Roman" w:eastAsia="Times New Roman" w:hAnsi="Times New Roman" w:cs="Times New Roman"/>
          <w:sz w:val="24"/>
          <w:szCs w:val="24"/>
        </w:rPr>
      </w:pPr>
      <w:r w:rsidRPr="00805042">
        <w:rPr>
          <w:rFonts w:ascii="Times New Roman" w:eastAsia="Times New Roman" w:hAnsi="Times New Roman" w:cs="Times New Roman"/>
          <w:sz w:val="24"/>
          <w:szCs w:val="24"/>
        </w:rPr>
        <w:t xml:space="preserve">Pemisahan proses pengadilan dalam urusan konektivitas mempunyai lebih banyak kelemahan dibandingkan kelebihan, pertama karena aturan pasal 4 tidak dipatuhi. </w:t>
      </w:r>
      <w:proofErr w:type="gramStart"/>
      <w:r w:rsidRPr="00805042">
        <w:rPr>
          <w:rFonts w:ascii="Times New Roman" w:eastAsia="Times New Roman" w:hAnsi="Times New Roman" w:cs="Times New Roman"/>
          <w:sz w:val="24"/>
          <w:szCs w:val="24"/>
        </w:rPr>
        <w:t>Kedua, terd</w:t>
      </w:r>
      <w:r w:rsidRPr="00805042">
        <w:rPr>
          <w:rFonts w:ascii="Times New Roman" w:eastAsia="Times New Roman" w:hAnsi="Times New Roman" w:cs="Times New Roman"/>
          <w:sz w:val="24"/>
          <w:szCs w:val="24"/>
        </w:rPr>
        <w:t>apat dua jenis hakim yang berbeda dalam memberikan putusan, yang masing-masing secara alamiah dipengaruhi oleh hati nuraninya masing-masing, sehingga menyebabkan tidak seimbangnya putusan yang diambil.</w:t>
      </w:r>
      <w:proofErr w:type="gramEnd"/>
      <w:r w:rsidRPr="00805042">
        <w:rPr>
          <w:rFonts w:ascii="Times New Roman" w:eastAsia="Times New Roman" w:hAnsi="Times New Roman" w:cs="Times New Roman"/>
          <w:sz w:val="24"/>
          <w:szCs w:val="24"/>
        </w:rPr>
        <w:t xml:space="preserve"> </w:t>
      </w:r>
      <w:proofErr w:type="gramStart"/>
      <w:r w:rsidRPr="00805042">
        <w:rPr>
          <w:rFonts w:ascii="Times New Roman" w:eastAsia="Times New Roman" w:hAnsi="Times New Roman" w:cs="Times New Roman"/>
          <w:sz w:val="24"/>
          <w:szCs w:val="24"/>
        </w:rPr>
        <w:t>Mereka yang diadili oleh Pengadilan Militer dan mereka</w:t>
      </w:r>
      <w:r w:rsidRPr="00805042">
        <w:rPr>
          <w:rFonts w:ascii="Times New Roman" w:eastAsia="Times New Roman" w:hAnsi="Times New Roman" w:cs="Times New Roman"/>
          <w:sz w:val="24"/>
          <w:szCs w:val="24"/>
        </w:rPr>
        <w:t xml:space="preserve"> yang diadili oleh pengadilan umum.</w:t>
      </w:r>
      <w:proofErr w:type="gramEnd"/>
      <w:r w:rsidRPr="00805042">
        <w:rPr>
          <w:rFonts w:ascii="Times New Roman" w:eastAsia="Times New Roman" w:hAnsi="Times New Roman" w:cs="Times New Roman"/>
          <w:sz w:val="24"/>
          <w:szCs w:val="24"/>
        </w:rPr>
        <w:t xml:space="preserve"> Adanya kecenderungan penyelesaian barang bukti secara sepihak setelah barang bukti tersebut disita untuk negara apabila pemisahan tersebut berkaitan dengan barang yang </w:t>
      </w:r>
      <w:proofErr w:type="gramStart"/>
      <w:r w:rsidRPr="00805042">
        <w:rPr>
          <w:rFonts w:ascii="Times New Roman" w:eastAsia="Times New Roman" w:hAnsi="Times New Roman" w:cs="Times New Roman"/>
          <w:sz w:val="24"/>
          <w:szCs w:val="24"/>
        </w:rPr>
        <w:t>akan</w:t>
      </w:r>
      <w:proofErr w:type="gramEnd"/>
      <w:r w:rsidRPr="00805042">
        <w:rPr>
          <w:rFonts w:ascii="Times New Roman" w:eastAsia="Times New Roman" w:hAnsi="Times New Roman" w:cs="Times New Roman"/>
          <w:sz w:val="24"/>
          <w:szCs w:val="24"/>
        </w:rPr>
        <w:t xml:space="preserve"> disita dan disita untuk negara (misalnya penyel</w:t>
      </w:r>
      <w:r w:rsidRPr="00805042">
        <w:rPr>
          <w:rFonts w:ascii="Times New Roman" w:eastAsia="Times New Roman" w:hAnsi="Times New Roman" w:cs="Times New Roman"/>
          <w:sz w:val="24"/>
          <w:szCs w:val="24"/>
        </w:rPr>
        <w:t xml:space="preserve">undupan yang dilakukan bersama-sama). </w:t>
      </w:r>
      <w:proofErr w:type="gramStart"/>
      <w:r w:rsidRPr="00805042">
        <w:rPr>
          <w:rFonts w:ascii="Times New Roman" w:eastAsia="Times New Roman" w:hAnsi="Times New Roman" w:cs="Times New Roman"/>
          <w:sz w:val="24"/>
          <w:szCs w:val="24"/>
        </w:rPr>
        <w:t>Keuntungannya, misalnya, jika seorang anggota militer diadili di pengadilan militer, harga dirinya yang harus dijaga tidak tergoyahkan.</w:t>
      </w:r>
      <w:proofErr w:type="gramEnd"/>
      <w:r w:rsidRPr="00805042">
        <w:rPr>
          <w:rFonts w:ascii="Times New Roman" w:eastAsia="Times New Roman" w:hAnsi="Times New Roman" w:cs="Times New Roman"/>
          <w:sz w:val="24"/>
          <w:szCs w:val="24"/>
          <w:vertAlign w:val="superscript"/>
        </w:rPr>
        <w:footnoteReference w:id="3"/>
      </w:r>
    </w:p>
    <w:p w14:paraId="00000017" w14:textId="77777777" w:rsidR="003768E2" w:rsidRPr="00805042" w:rsidRDefault="008874A9" w:rsidP="006E7DEE">
      <w:pPr>
        <w:spacing w:after="0" w:line="240" w:lineRule="auto"/>
        <w:ind w:firstLine="567"/>
        <w:jc w:val="both"/>
        <w:rPr>
          <w:rFonts w:ascii="Times New Roman" w:eastAsia="Times New Roman" w:hAnsi="Times New Roman" w:cs="Times New Roman"/>
          <w:sz w:val="24"/>
          <w:szCs w:val="24"/>
        </w:rPr>
      </w:pPr>
      <w:proofErr w:type="gramStart"/>
      <w:r w:rsidRPr="00805042">
        <w:rPr>
          <w:rFonts w:ascii="Times New Roman" w:eastAsia="Times New Roman" w:hAnsi="Times New Roman" w:cs="Times New Roman"/>
          <w:sz w:val="24"/>
          <w:szCs w:val="24"/>
        </w:rPr>
        <w:t>Selain itu, pengertian konektivitas tertuang dalam pasal 22 Undang-Undang Nomor 1</w:t>
      </w:r>
      <w:r w:rsidRPr="00805042">
        <w:rPr>
          <w:rFonts w:ascii="Times New Roman" w:eastAsia="Times New Roman" w:hAnsi="Times New Roman" w:cs="Times New Roman"/>
          <w:sz w:val="24"/>
          <w:szCs w:val="24"/>
        </w:rPr>
        <w:t>4 Tahun 1970 yang pernah disahkan dan mengatur tentang penyelenggaraan kekuasaan kehakiman.</w:t>
      </w:r>
      <w:proofErr w:type="gramEnd"/>
      <w:r w:rsidRPr="00805042">
        <w:rPr>
          <w:rFonts w:ascii="Times New Roman" w:eastAsia="Times New Roman" w:hAnsi="Times New Roman" w:cs="Times New Roman"/>
          <w:sz w:val="24"/>
          <w:szCs w:val="24"/>
        </w:rPr>
        <w:t xml:space="preserve"> Disebutkan: Tindak pidana yang dilakukan secara bersama-sama oleh mereka yang tunduk pada lingkungan peradilan militer dan umum diadili dan diperiksa oleh </w:t>
      </w:r>
      <w:r w:rsidRPr="00805042">
        <w:rPr>
          <w:rFonts w:ascii="Times New Roman" w:eastAsia="Times New Roman" w:hAnsi="Times New Roman" w:cs="Times New Roman"/>
          <w:sz w:val="24"/>
          <w:szCs w:val="24"/>
        </w:rPr>
        <w:lastRenderedPageBreak/>
        <w:t>lingkunga</w:t>
      </w:r>
      <w:r w:rsidRPr="00805042">
        <w:rPr>
          <w:rFonts w:ascii="Times New Roman" w:eastAsia="Times New Roman" w:hAnsi="Times New Roman" w:cs="Times New Roman"/>
          <w:sz w:val="24"/>
          <w:szCs w:val="24"/>
        </w:rPr>
        <w:t xml:space="preserve">n peradilan umum, kecuali Menteri Pertahanan dan Keamanan memerintahkan </w:t>
      </w:r>
      <w:proofErr w:type="gramStart"/>
      <w:r w:rsidRPr="00805042">
        <w:rPr>
          <w:rFonts w:ascii="Times New Roman" w:eastAsia="Times New Roman" w:hAnsi="Times New Roman" w:cs="Times New Roman"/>
          <w:sz w:val="24"/>
          <w:szCs w:val="24"/>
        </w:rPr>
        <w:t>lain</w:t>
      </w:r>
      <w:proofErr w:type="gramEnd"/>
      <w:r w:rsidRPr="00805042">
        <w:rPr>
          <w:rFonts w:ascii="Times New Roman" w:eastAsia="Times New Roman" w:hAnsi="Times New Roman" w:cs="Times New Roman"/>
          <w:sz w:val="24"/>
          <w:szCs w:val="24"/>
        </w:rPr>
        <w:t xml:space="preserve"> dengan persetujuan Menteri Kehakiman, dalam hal ini perkaranya dapat diadili dan diperiksa oleh pengadilan khusus.</w:t>
      </w:r>
    </w:p>
    <w:p w14:paraId="00000018" w14:textId="77777777" w:rsidR="003768E2" w:rsidRPr="00805042" w:rsidRDefault="008874A9" w:rsidP="006E7DEE">
      <w:pPr>
        <w:spacing w:after="0" w:line="240" w:lineRule="auto"/>
        <w:ind w:firstLine="567"/>
        <w:jc w:val="both"/>
        <w:rPr>
          <w:rFonts w:ascii="Times New Roman" w:eastAsia="Times New Roman" w:hAnsi="Times New Roman" w:cs="Times New Roman"/>
          <w:sz w:val="24"/>
          <w:szCs w:val="24"/>
        </w:rPr>
      </w:pPr>
      <w:r w:rsidRPr="00805042">
        <w:rPr>
          <w:rFonts w:ascii="Times New Roman" w:eastAsia="Times New Roman" w:hAnsi="Times New Roman" w:cs="Times New Roman"/>
          <w:sz w:val="24"/>
          <w:szCs w:val="24"/>
        </w:rPr>
        <w:t>Dari ketentuan kedua undang-undang tersebut di atas yang mengatu</w:t>
      </w:r>
      <w:r w:rsidRPr="00805042">
        <w:rPr>
          <w:rFonts w:ascii="Times New Roman" w:eastAsia="Times New Roman" w:hAnsi="Times New Roman" w:cs="Times New Roman"/>
          <w:sz w:val="24"/>
          <w:szCs w:val="24"/>
        </w:rPr>
        <w:t>r perkara konektivitas, pada dasarnya sama karena kekuasaan kehakiman dalam Undang-undang Nomor 14 Tahun 1970 yang pernah diterapkan merupakan ketentuan umum kekuasaan kehakiman di Indonesia yang mana peradilan militer merupakan salah satu ketentuan umum k</w:t>
      </w:r>
      <w:r w:rsidRPr="00805042">
        <w:rPr>
          <w:rFonts w:ascii="Times New Roman" w:eastAsia="Times New Roman" w:hAnsi="Times New Roman" w:cs="Times New Roman"/>
          <w:sz w:val="24"/>
          <w:szCs w:val="24"/>
        </w:rPr>
        <w:t xml:space="preserve">ekuasaan kehakiman di Indonesia. </w:t>
      </w:r>
      <w:proofErr w:type="gramStart"/>
      <w:r w:rsidRPr="00805042">
        <w:rPr>
          <w:rFonts w:ascii="Times New Roman" w:eastAsia="Times New Roman" w:hAnsi="Times New Roman" w:cs="Times New Roman"/>
          <w:sz w:val="24"/>
          <w:szCs w:val="24"/>
        </w:rPr>
        <w:t>pengadilan</w:t>
      </w:r>
      <w:proofErr w:type="gramEnd"/>
      <w:r w:rsidRPr="00805042">
        <w:rPr>
          <w:rFonts w:ascii="Times New Roman" w:eastAsia="Times New Roman" w:hAnsi="Times New Roman" w:cs="Times New Roman"/>
          <w:sz w:val="24"/>
          <w:szCs w:val="24"/>
        </w:rPr>
        <w:t xml:space="preserve"> yang berada dalam kekuasaan kehakiman. Namun, Pasal 22 UU Nomor 14 Tahun 1970 memperjelas isi dan makna kedua undang-undang yang mengatur masalah konektivitas tersebut. Berdasarkan atas hal tersebut kemudian terd</w:t>
      </w:r>
      <w:r w:rsidRPr="00805042">
        <w:rPr>
          <w:rFonts w:ascii="Times New Roman" w:eastAsia="Times New Roman" w:hAnsi="Times New Roman" w:cs="Times New Roman"/>
          <w:sz w:val="24"/>
          <w:szCs w:val="24"/>
        </w:rPr>
        <w:t xml:space="preserve">apat pernyataan dalam penelitian ini yakni seperti </w:t>
      </w:r>
      <w:proofErr w:type="gramStart"/>
      <w:r w:rsidRPr="00805042">
        <w:rPr>
          <w:rFonts w:ascii="Times New Roman" w:eastAsia="Times New Roman" w:hAnsi="Times New Roman" w:cs="Times New Roman"/>
          <w:sz w:val="24"/>
          <w:szCs w:val="24"/>
        </w:rPr>
        <w:t>apa</w:t>
      </w:r>
      <w:proofErr w:type="gramEnd"/>
      <w:r w:rsidRPr="00805042">
        <w:rPr>
          <w:rFonts w:ascii="Times New Roman" w:eastAsia="Times New Roman" w:hAnsi="Times New Roman" w:cs="Times New Roman"/>
          <w:sz w:val="24"/>
          <w:szCs w:val="24"/>
        </w:rPr>
        <w:t xml:space="preserve"> mekanisme pelaksanaan acara koneksitas dalam suatu perkara pidana tersebut diselesaikan oleh Pengadilan Militer dan apakah pengadilan umum juga memiliki kewenangan untuk menyelesaikan perkara koneksita</w:t>
      </w:r>
      <w:r w:rsidRPr="00805042">
        <w:rPr>
          <w:rFonts w:ascii="Times New Roman" w:eastAsia="Times New Roman" w:hAnsi="Times New Roman" w:cs="Times New Roman"/>
          <w:sz w:val="24"/>
          <w:szCs w:val="24"/>
        </w:rPr>
        <w:t>s tersebut?</w:t>
      </w:r>
      <w:r w:rsidRPr="006E7DEE">
        <w:rPr>
          <w:rFonts w:ascii="Times New Roman" w:eastAsia="Times New Roman" w:hAnsi="Times New Roman" w:cs="Times New Roman"/>
          <w:sz w:val="24"/>
          <w:szCs w:val="24"/>
        </w:rPr>
        <w:t xml:space="preserve"> </w:t>
      </w:r>
      <w:proofErr w:type="gramStart"/>
      <w:r w:rsidRPr="006E7DEE">
        <w:rPr>
          <w:rFonts w:ascii="Times New Roman" w:eastAsia="Times New Roman" w:hAnsi="Times New Roman" w:cs="Times New Roman"/>
          <w:sz w:val="24"/>
          <w:szCs w:val="24"/>
        </w:rPr>
        <w:t xml:space="preserve">Oleh karenanya dalam penelitian ini mengangkat judul </w:t>
      </w:r>
      <w:r w:rsidRPr="006E7DEE">
        <w:rPr>
          <w:rFonts w:ascii="Times New Roman" w:eastAsia="Times New Roman" w:hAnsi="Times New Roman" w:cs="Times New Roman"/>
          <w:sz w:val="24"/>
          <w:szCs w:val="24"/>
        </w:rPr>
        <w:t>Analisis Yuridis Pelaksanaan Peradilan Koneksitas Dalam Hukum Acara Peradilan Militer Di Indonesia</w:t>
      </w:r>
      <w:r w:rsidRPr="006E7DEE">
        <w:rPr>
          <w:rFonts w:ascii="Times New Roman" w:eastAsia="Times New Roman" w:hAnsi="Times New Roman" w:cs="Times New Roman"/>
          <w:sz w:val="24"/>
          <w:szCs w:val="24"/>
        </w:rPr>
        <w:t>.</w:t>
      </w:r>
      <w:proofErr w:type="gramEnd"/>
    </w:p>
    <w:p w14:paraId="00000019" w14:textId="77777777" w:rsidR="003768E2" w:rsidRPr="00805042" w:rsidRDefault="003768E2" w:rsidP="00805042">
      <w:pPr>
        <w:spacing w:after="0" w:line="240" w:lineRule="auto"/>
        <w:jc w:val="both"/>
        <w:rPr>
          <w:rFonts w:ascii="Times New Roman" w:eastAsia="Times New Roman" w:hAnsi="Times New Roman" w:cs="Times New Roman"/>
          <w:b/>
          <w:sz w:val="24"/>
          <w:szCs w:val="24"/>
        </w:rPr>
      </w:pPr>
    </w:p>
    <w:p w14:paraId="0000001A" w14:textId="77777777" w:rsidR="003768E2" w:rsidRPr="00805042" w:rsidRDefault="008874A9" w:rsidP="00805042">
      <w:pPr>
        <w:spacing w:after="0" w:line="240" w:lineRule="auto"/>
        <w:jc w:val="both"/>
        <w:rPr>
          <w:rFonts w:ascii="Times New Roman" w:eastAsia="Times New Roman" w:hAnsi="Times New Roman" w:cs="Times New Roman"/>
          <w:b/>
          <w:sz w:val="24"/>
          <w:szCs w:val="24"/>
        </w:rPr>
      </w:pPr>
      <w:r w:rsidRPr="00805042">
        <w:rPr>
          <w:rFonts w:ascii="Times New Roman" w:eastAsia="Times New Roman" w:hAnsi="Times New Roman" w:cs="Times New Roman"/>
          <w:b/>
          <w:sz w:val="24"/>
          <w:szCs w:val="24"/>
        </w:rPr>
        <w:t>METODE PENELITIAN</w:t>
      </w:r>
    </w:p>
    <w:p w14:paraId="0000001B" w14:textId="77777777" w:rsidR="003768E2" w:rsidRPr="00805042" w:rsidRDefault="008874A9" w:rsidP="006E7DEE">
      <w:pPr>
        <w:spacing w:after="0" w:line="240" w:lineRule="auto"/>
        <w:ind w:firstLine="567"/>
        <w:jc w:val="both"/>
        <w:rPr>
          <w:rFonts w:ascii="Times New Roman" w:eastAsia="Times New Roman" w:hAnsi="Times New Roman" w:cs="Times New Roman"/>
          <w:sz w:val="24"/>
          <w:szCs w:val="24"/>
        </w:rPr>
      </w:pPr>
      <w:proofErr w:type="gramStart"/>
      <w:r w:rsidRPr="00805042">
        <w:rPr>
          <w:rFonts w:ascii="Times New Roman" w:eastAsia="Times New Roman" w:hAnsi="Times New Roman" w:cs="Times New Roman"/>
          <w:sz w:val="24"/>
          <w:szCs w:val="24"/>
        </w:rPr>
        <w:t>Penelitian hukum normatif, disebut juga penelitian hukum doktrinal, merupakan metodologi yang digunakan dalam penelitian ini.</w:t>
      </w:r>
      <w:proofErr w:type="gramEnd"/>
      <w:r w:rsidRPr="00805042">
        <w:rPr>
          <w:rFonts w:ascii="Times New Roman" w:eastAsia="Times New Roman" w:hAnsi="Times New Roman" w:cs="Times New Roman"/>
          <w:sz w:val="24"/>
          <w:szCs w:val="24"/>
        </w:rPr>
        <w:t xml:space="preserve"> </w:t>
      </w:r>
      <w:proofErr w:type="gramStart"/>
      <w:r w:rsidRPr="00805042">
        <w:rPr>
          <w:rFonts w:ascii="Times New Roman" w:eastAsia="Times New Roman" w:hAnsi="Times New Roman" w:cs="Times New Roman"/>
          <w:sz w:val="24"/>
          <w:szCs w:val="24"/>
        </w:rPr>
        <w:t>Dalam kajian normatif ini, peraturan perundang-undangan dipandang sebagai pedoman atau standar yang menjadi tolok ukur perilaku ma</w:t>
      </w:r>
      <w:r w:rsidRPr="00805042">
        <w:rPr>
          <w:rFonts w:ascii="Times New Roman" w:eastAsia="Times New Roman" w:hAnsi="Times New Roman" w:cs="Times New Roman"/>
          <w:sz w:val="24"/>
          <w:szCs w:val="24"/>
        </w:rPr>
        <w:t>nusia yang dapat diterima.</w:t>
      </w:r>
      <w:proofErr w:type="gramEnd"/>
      <w:r w:rsidRPr="00805042">
        <w:rPr>
          <w:rFonts w:ascii="Times New Roman" w:eastAsia="Times New Roman" w:hAnsi="Times New Roman" w:cs="Times New Roman"/>
          <w:sz w:val="24"/>
          <w:szCs w:val="24"/>
          <w:vertAlign w:val="superscript"/>
        </w:rPr>
        <w:footnoteReference w:id="4"/>
      </w:r>
      <w:r w:rsidRPr="00805042">
        <w:rPr>
          <w:rFonts w:ascii="Times New Roman" w:eastAsia="Times New Roman" w:hAnsi="Times New Roman" w:cs="Times New Roman"/>
          <w:sz w:val="24"/>
          <w:szCs w:val="24"/>
        </w:rPr>
        <w:t xml:space="preserve"> </w:t>
      </w:r>
      <w:proofErr w:type="gramStart"/>
      <w:r w:rsidRPr="00805042">
        <w:rPr>
          <w:rFonts w:ascii="Times New Roman" w:eastAsia="Times New Roman" w:hAnsi="Times New Roman" w:cs="Times New Roman"/>
          <w:sz w:val="24"/>
          <w:szCs w:val="24"/>
        </w:rPr>
        <w:t>Dalam kajian normatif ini, penulis terlebih dahulu mengidentifikasi peraturan-peraturan hukum yang telah dikodifikasikan dalam undang-undang tertentu sebelum melakukan penelitian terhadap asas-asas hukum.</w:t>
      </w:r>
      <w:proofErr w:type="gramEnd"/>
    </w:p>
    <w:p w14:paraId="0000001C" w14:textId="77777777" w:rsidR="003768E2" w:rsidRPr="00805042" w:rsidRDefault="008874A9" w:rsidP="006E7DEE">
      <w:pPr>
        <w:spacing w:after="0" w:line="240" w:lineRule="auto"/>
        <w:ind w:firstLine="567"/>
        <w:jc w:val="both"/>
        <w:rPr>
          <w:rFonts w:ascii="Times New Roman" w:eastAsia="Times New Roman" w:hAnsi="Times New Roman" w:cs="Times New Roman"/>
          <w:sz w:val="24"/>
          <w:szCs w:val="24"/>
        </w:rPr>
      </w:pPr>
      <w:proofErr w:type="gramStart"/>
      <w:r w:rsidRPr="00805042">
        <w:rPr>
          <w:rFonts w:ascii="Times New Roman" w:eastAsia="Times New Roman" w:hAnsi="Times New Roman" w:cs="Times New Roman"/>
          <w:sz w:val="24"/>
          <w:szCs w:val="24"/>
        </w:rPr>
        <w:t>Sumber datanya adalah s</w:t>
      </w:r>
      <w:r w:rsidRPr="00805042">
        <w:rPr>
          <w:rFonts w:ascii="Times New Roman" w:eastAsia="Times New Roman" w:hAnsi="Times New Roman" w:cs="Times New Roman"/>
          <w:sz w:val="24"/>
          <w:szCs w:val="24"/>
        </w:rPr>
        <w:t>umber hukum primer dan bahan hukum sekunder.</w:t>
      </w:r>
      <w:proofErr w:type="gramEnd"/>
      <w:r w:rsidRPr="00805042">
        <w:rPr>
          <w:rFonts w:ascii="Times New Roman" w:eastAsia="Times New Roman" w:hAnsi="Times New Roman" w:cs="Times New Roman"/>
          <w:sz w:val="24"/>
          <w:szCs w:val="24"/>
        </w:rPr>
        <w:t xml:space="preserve"> Dokumen hukum primer meliputi yang bersifat otoritatif (otoritatif), seperti Undang-Undang Dasar Negara Republik Indonesia Tahun 1945, KUHAP, dan Undang-Undang Peradilan Militer, serta peraturan perundang-undang</w:t>
      </w:r>
      <w:r w:rsidRPr="00805042">
        <w:rPr>
          <w:rFonts w:ascii="Times New Roman" w:eastAsia="Times New Roman" w:hAnsi="Times New Roman" w:cs="Times New Roman"/>
          <w:sz w:val="24"/>
          <w:szCs w:val="24"/>
        </w:rPr>
        <w:t xml:space="preserve">an apa pun yang relevan dengan topik kajian. </w:t>
      </w:r>
      <w:proofErr w:type="gramStart"/>
      <w:r w:rsidRPr="00805042">
        <w:rPr>
          <w:rFonts w:ascii="Times New Roman" w:eastAsia="Times New Roman" w:hAnsi="Times New Roman" w:cs="Times New Roman"/>
          <w:sz w:val="24"/>
          <w:szCs w:val="24"/>
        </w:rPr>
        <w:t>Kemudian sumber hukum sekunder, yaitu surat-surat tidak resmi yang berkaitan dengan undang-undang, dilepaskan.</w:t>
      </w:r>
      <w:proofErr w:type="gramEnd"/>
      <w:r w:rsidRPr="00805042">
        <w:rPr>
          <w:rFonts w:ascii="Times New Roman" w:eastAsia="Times New Roman" w:hAnsi="Times New Roman" w:cs="Times New Roman"/>
          <w:sz w:val="24"/>
          <w:szCs w:val="24"/>
          <w:vertAlign w:val="superscript"/>
        </w:rPr>
        <w:footnoteReference w:id="5"/>
      </w:r>
      <w:r w:rsidRPr="00805042">
        <w:rPr>
          <w:rFonts w:ascii="Times New Roman" w:eastAsia="Times New Roman" w:hAnsi="Times New Roman" w:cs="Times New Roman"/>
          <w:sz w:val="24"/>
          <w:szCs w:val="24"/>
        </w:rPr>
        <w:t xml:space="preserve"> </w:t>
      </w:r>
      <w:proofErr w:type="gramStart"/>
      <w:r w:rsidRPr="00805042">
        <w:rPr>
          <w:rFonts w:ascii="Times New Roman" w:eastAsia="Times New Roman" w:hAnsi="Times New Roman" w:cs="Times New Roman"/>
          <w:sz w:val="24"/>
          <w:szCs w:val="24"/>
        </w:rPr>
        <w:t>Kamus hukum, buku teks, dan majalah adalah contoh penerbitan hukum.</w:t>
      </w:r>
      <w:proofErr w:type="gramEnd"/>
      <w:r w:rsidRPr="00805042">
        <w:rPr>
          <w:rFonts w:ascii="Times New Roman" w:eastAsia="Times New Roman" w:hAnsi="Times New Roman" w:cs="Times New Roman"/>
          <w:sz w:val="24"/>
          <w:szCs w:val="24"/>
        </w:rPr>
        <w:t xml:space="preserve"> </w:t>
      </w:r>
      <w:proofErr w:type="gramStart"/>
      <w:r w:rsidRPr="00805042">
        <w:rPr>
          <w:rFonts w:ascii="Times New Roman" w:eastAsia="Times New Roman" w:hAnsi="Times New Roman" w:cs="Times New Roman"/>
          <w:sz w:val="24"/>
          <w:szCs w:val="24"/>
        </w:rPr>
        <w:t>Publikasi ini menjelaskan dokum</w:t>
      </w:r>
      <w:r w:rsidRPr="00805042">
        <w:rPr>
          <w:rFonts w:ascii="Times New Roman" w:eastAsia="Times New Roman" w:hAnsi="Times New Roman" w:cs="Times New Roman"/>
          <w:sz w:val="24"/>
          <w:szCs w:val="24"/>
        </w:rPr>
        <w:t>en hukum mendasar, termasuk temuan penelitian, karya akademis dari komunitas hukum, dan lain-lain.</w:t>
      </w:r>
      <w:proofErr w:type="gramEnd"/>
    </w:p>
    <w:p w14:paraId="0000001D" w14:textId="77777777" w:rsidR="003768E2" w:rsidRPr="00805042" w:rsidRDefault="008874A9" w:rsidP="006E7DEE">
      <w:pPr>
        <w:spacing w:after="0" w:line="240" w:lineRule="auto"/>
        <w:ind w:firstLine="567"/>
        <w:jc w:val="both"/>
        <w:rPr>
          <w:rFonts w:ascii="Times New Roman" w:eastAsia="Times New Roman" w:hAnsi="Times New Roman" w:cs="Times New Roman"/>
          <w:sz w:val="24"/>
          <w:szCs w:val="24"/>
        </w:rPr>
      </w:pPr>
      <w:proofErr w:type="gramStart"/>
      <w:r w:rsidRPr="00805042">
        <w:rPr>
          <w:rFonts w:ascii="Times New Roman" w:eastAsia="Times New Roman" w:hAnsi="Times New Roman" w:cs="Times New Roman"/>
          <w:sz w:val="24"/>
          <w:szCs w:val="24"/>
        </w:rPr>
        <w:t>Kamus hukum, ensiklopedia, indeks kumulatif, dan sumber serupa lainnya merupakan contoh bahan hukum sekunder dan tersier yang memberikan panduan dan penjelas</w:t>
      </w:r>
      <w:r w:rsidRPr="00805042">
        <w:rPr>
          <w:rFonts w:ascii="Times New Roman" w:eastAsia="Times New Roman" w:hAnsi="Times New Roman" w:cs="Times New Roman"/>
          <w:sz w:val="24"/>
          <w:szCs w:val="24"/>
        </w:rPr>
        <w:t>an mengenai dokumen hukum dasar dan sekunder.</w:t>
      </w:r>
      <w:proofErr w:type="gramEnd"/>
      <w:r w:rsidRPr="00805042">
        <w:rPr>
          <w:rFonts w:ascii="Times New Roman" w:eastAsia="Times New Roman" w:hAnsi="Times New Roman" w:cs="Times New Roman"/>
          <w:sz w:val="24"/>
          <w:szCs w:val="24"/>
          <w:vertAlign w:val="superscript"/>
        </w:rPr>
        <w:footnoteReference w:id="6"/>
      </w:r>
      <w:r w:rsidRPr="00805042">
        <w:rPr>
          <w:rFonts w:ascii="Times New Roman" w:eastAsia="Times New Roman" w:hAnsi="Times New Roman" w:cs="Times New Roman"/>
          <w:sz w:val="24"/>
          <w:szCs w:val="24"/>
        </w:rPr>
        <w:t xml:space="preserve"> </w:t>
      </w:r>
      <w:proofErr w:type="gramStart"/>
      <w:r w:rsidRPr="00805042">
        <w:rPr>
          <w:rFonts w:ascii="Times New Roman" w:eastAsia="Times New Roman" w:hAnsi="Times New Roman" w:cs="Times New Roman"/>
          <w:sz w:val="24"/>
          <w:szCs w:val="24"/>
        </w:rPr>
        <w:t>Kemudian pendekatan kajian pustaka atau studi dokumenter digunakan sebagai strategi pengumpulan data dalam penelitian hukum normatif (</w:t>
      </w:r>
      <w:r w:rsidRPr="00805042">
        <w:rPr>
          <w:rFonts w:ascii="Times New Roman" w:eastAsia="Times New Roman" w:hAnsi="Times New Roman" w:cs="Times New Roman"/>
          <w:i/>
          <w:sz w:val="24"/>
          <w:szCs w:val="24"/>
        </w:rPr>
        <w:t>Legal Research</w:t>
      </w:r>
      <w:r w:rsidRPr="00805042">
        <w:rPr>
          <w:rFonts w:ascii="Times New Roman" w:eastAsia="Times New Roman" w:hAnsi="Times New Roman" w:cs="Times New Roman"/>
          <w:sz w:val="24"/>
          <w:szCs w:val="24"/>
        </w:rPr>
        <w:t>).</w:t>
      </w:r>
      <w:proofErr w:type="gramEnd"/>
      <w:r w:rsidRPr="00805042">
        <w:rPr>
          <w:rFonts w:ascii="Times New Roman" w:eastAsia="Times New Roman" w:hAnsi="Times New Roman" w:cs="Times New Roman"/>
          <w:sz w:val="24"/>
          <w:szCs w:val="24"/>
        </w:rPr>
        <w:t xml:space="preserve"> </w:t>
      </w:r>
      <w:proofErr w:type="gramStart"/>
      <w:r w:rsidRPr="00805042">
        <w:rPr>
          <w:rFonts w:ascii="Times New Roman" w:eastAsia="Times New Roman" w:hAnsi="Times New Roman" w:cs="Times New Roman"/>
          <w:sz w:val="24"/>
          <w:szCs w:val="24"/>
        </w:rPr>
        <w:t>Oleh karena itu, informasi yang digunakan dalam penelitian</w:t>
      </w:r>
      <w:r w:rsidRPr="00805042">
        <w:rPr>
          <w:rFonts w:ascii="Times New Roman" w:eastAsia="Times New Roman" w:hAnsi="Times New Roman" w:cs="Times New Roman"/>
          <w:sz w:val="24"/>
          <w:szCs w:val="24"/>
        </w:rPr>
        <w:t xml:space="preserve"> ini bersifat sekunder.</w:t>
      </w:r>
      <w:proofErr w:type="gramEnd"/>
    </w:p>
    <w:p w14:paraId="0000001E" w14:textId="77777777" w:rsidR="003768E2" w:rsidRPr="00805042" w:rsidRDefault="008874A9" w:rsidP="006E7DEE">
      <w:pPr>
        <w:spacing w:after="0" w:line="240" w:lineRule="auto"/>
        <w:ind w:firstLine="567"/>
        <w:jc w:val="both"/>
        <w:rPr>
          <w:rFonts w:ascii="Times New Roman" w:eastAsia="Times New Roman" w:hAnsi="Times New Roman" w:cs="Times New Roman"/>
          <w:sz w:val="24"/>
          <w:szCs w:val="24"/>
        </w:rPr>
      </w:pPr>
      <w:proofErr w:type="gramStart"/>
      <w:r w:rsidRPr="00805042">
        <w:rPr>
          <w:rFonts w:ascii="Times New Roman" w:eastAsia="Times New Roman" w:hAnsi="Times New Roman" w:cs="Times New Roman"/>
          <w:sz w:val="24"/>
          <w:szCs w:val="24"/>
        </w:rPr>
        <w:t>Analisis hukum ini bersifat normatif.</w:t>
      </w:r>
      <w:proofErr w:type="gramEnd"/>
      <w:r w:rsidRPr="00805042">
        <w:rPr>
          <w:rFonts w:ascii="Times New Roman" w:eastAsia="Times New Roman" w:hAnsi="Times New Roman" w:cs="Times New Roman"/>
          <w:sz w:val="24"/>
          <w:szCs w:val="24"/>
        </w:rPr>
        <w:t xml:space="preserve"> </w:t>
      </w:r>
      <w:proofErr w:type="gramStart"/>
      <w:r w:rsidRPr="00805042">
        <w:rPr>
          <w:rFonts w:ascii="Times New Roman" w:eastAsia="Times New Roman" w:hAnsi="Times New Roman" w:cs="Times New Roman"/>
          <w:sz w:val="24"/>
          <w:szCs w:val="24"/>
        </w:rPr>
        <w:t>Analisis dan pembahasan data dilakukan secara kualitatif, artinya ungkapan-ungkapan yang digunakan untuk mendeskripsikan data harus teratur, kohesif, logis, tidak tumpang tindih, dan efektif agar lebih mudah dalam meng</w:t>
      </w:r>
      <w:r w:rsidRPr="00805042">
        <w:rPr>
          <w:rFonts w:ascii="Times New Roman" w:eastAsia="Times New Roman" w:hAnsi="Times New Roman" w:cs="Times New Roman"/>
          <w:sz w:val="24"/>
          <w:szCs w:val="24"/>
        </w:rPr>
        <w:t>komunikasikan dan menjelaskan temuan penelitian.</w:t>
      </w:r>
      <w:proofErr w:type="gramEnd"/>
      <w:r w:rsidRPr="00805042">
        <w:rPr>
          <w:rFonts w:ascii="Times New Roman" w:eastAsia="Times New Roman" w:hAnsi="Times New Roman" w:cs="Times New Roman"/>
          <w:sz w:val="24"/>
          <w:szCs w:val="24"/>
          <w:vertAlign w:val="superscript"/>
        </w:rPr>
        <w:footnoteReference w:id="7"/>
      </w:r>
      <w:r w:rsidRPr="00805042">
        <w:rPr>
          <w:rFonts w:ascii="Times New Roman" w:eastAsia="Times New Roman" w:hAnsi="Times New Roman" w:cs="Times New Roman"/>
          <w:sz w:val="24"/>
          <w:szCs w:val="24"/>
        </w:rPr>
        <w:t xml:space="preserve"> </w:t>
      </w:r>
      <w:proofErr w:type="gramStart"/>
      <w:r w:rsidRPr="00805042">
        <w:rPr>
          <w:rFonts w:ascii="Times New Roman" w:eastAsia="Times New Roman" w:hAnsi="Times New Roman" w:cs="Times New Roman"/>
          <w:sz w:val="24"/>
          <w:szCs w:val="24"/>
        </w:rPr>
        <w:t>Kemudian dalam hal pengambilan kesimpulan dengan menggunakan teknik deduktif yaitu mengekstrapolasi informasi dan kesimpulan dari yang umum ke yang khusus.</w:t>
      </w:r>
      <w:proofErr w:type="gramEnd"/>
    </w:p>
    <w:p w14:paraId="0000001F" w14:textId="77777777" w:rsidR="003768E2" w:rsidRDefault="003768E2" w:rsidP="00805042">
      <w:pPr>
        <w:spacing w:after="0" w:line="240" w:lineRule="auto"/>
        <w:jc w:val="both"/>
        <w:rPr>
          <w:rFonts w:ascii="Times New Roman" w:eastAsia="Times New Roman" w:hAnsi="Times New Roman" w:cs="Times New Roman"/>
          <w:b/>
          <w:sz w:val="24"/>
          <w:szCs w:val="24"/>
          <w:lang w:val="id-ID"/>
        </w:rPr>
      </w:pPr>
    </w:p>
    <w:p w14:paraId="3DAC7FAF" w14:textId="77777777" w:rsidR="006E7DEE" w:rsidRDefault="006E7DEE" w:rsidP="00805042">
      <w:pPr>
        <w:spacing w:after="0" w:line="240" w:lineRule="auto"/>
        <w:jc w:val="both"/>
        <w:rPr>
          <w:rFonts w:ascii="Times New Roman" w:eastAsia="Times New Roman" w:hAnsi="Times New Roman" w:cs="Times New Roman"/>
          <w:b/>
          <w:sz w:val="24"/>
          <w:szCs w:val="24"/>
          <w:lang w:val="id-ID"/>
        </w:rPr>
      </w:pPr>
    </w:p>
    <w:p w14:paraId="34E71D36" w14:textId="77777777" w:rsidR="006E7DEE" w:rsidRDefault="006E7DEE" w:rsidP="00805042">
      <w:pPr>
        <w:spacing w:after="0" w:line="240" w:lineRule="auto"/>
        <w:jc w:val="both"/>
        <w:rPr>
          <w:rFonts w:ascii="Times New Roman" w:eastAsia="Times New Roman" w:hAnsi="Times New Roman" w:cs="Times New Roman"/>
          <w:b/>
          <w:sz w:val="24"/>
          <w:szCs w:val="24"/>
          <w:lang w:val="id-ID"/>
        </w:rPr>
      </w:pPr>
    </w:p>
    <w:p w14:paraId="21587464" w14:textId="77777777" w:rsidR="006E7DEE" w:rsidRPr="006E7DEE" w:rsidRDefault="006E7DEE" w:rsidP="00805042">
      <w:pPr>
        <w:spacing w:after="0" w:line="240" w:lineRule="auto"/>
        <w:jc w:val="both"/>
        <w:rPr>
          <w:rFonts w:ascii="Times New Roman" w:eastAsia="Times New Roman" w:hAnsi="Times New Roman" w:cs="Times New Roman"/>
          <w:b/>
          <w:sz w:val="24"/>
          <w:szCs w:val="24"/>
          <w:lang w:val="id-ID"/>
        </w:rPr>
      </w:pPr>
    </w:p>
    <w:p w14:paraId="00000020" w14:textId="77777777" w:rsidR="003768E2" w:rsidRPr="00805042" w:rsidRDefault="008874A9" w:rsidP="00805042">
      <w:pPr>
        <w:spacing w:after="0" w:line="240" w:lineRule="auto"/>
        <w:jc w:val="both"/>
        <w:rPr>
          <w:rFonts w:ascii="Times New Roman" w:eastAsia="Times New Roman" w:hAnsi="Times New Roman" w:cs="Times New Roman"/>
          <w:b/>
          <w:sz w:val="24"/>
          <w:szCs w:val="24"/>
        </w:rPr>
      </w:pPr>
      <w:r w:rsidRPr="00805042">
        <w:rPr>
          <w:rFonts w:ascii="Times New Roman" w:eastAsia="Times New Roman" w:hAnsi="Times New Roman" w:cs="Times New Roman"/>
          <w:b/>
          <w:sz w:val="24"/>
          <w:szCs w:val="24"/>
        </w:rPr>
        <w:lastRenderedPageBreak/>
        <w:t>HASIL DAN PEMBAHASAN</w:t>
      </w:r>
    </w:p>
    <w:p w14:paraId="00000021" w14:textId="77777777" w:rsidR="003768E2" w:rsidRPr="00805042" w:rsidRDefault="008874A9" w:rsidP="00805042">
      <w:pPr>
        <w:spacing w:after="0" w:line="240" w:lineRule="auto"/>
        <w:jc w:val="both"/>
        <w:rPr>
          <w:rFonts w:ascii="Times New Roman" w:eastAsia="Times New Roman" w:hAnsi="Times New Roman" w:cs="Times New Roman"/>
          <w:b/>
          <w:sz w:val="24"/>
          <w:szCs w:val="24"/>
        </w:rPr>
      </w:pPr>
      <w:r w:rsidRPr="00805042">
        <w:rPr>
          <w:rFonts w:ascii="Times New Roman" w:eastAsia="Times New Roman" w:hAnsi="Times New Roman" w:cs="Times New Roman"/>
          <w:b/>
          <w:sz w:val="24"/>
          <w:szCs w:val="24"/>
        </w:rPr>
        <w:t>Pelaksanaan Penyelesaian Per</w:t>
      </w:r>
      <w:r w:rsidRPr="00805042">
        <w:rPr>
          <w:rFonts w:ascii="Times New Roman" w:eastAsia="Times New Roman" w:hAnsi="Times New Roman" w:cs="Times New Roman"/>
          <w:b/>
          <w:sz w:val="24"/>
          <w:szCs w:val="24"/>
        </w:rPr>
        <w:t>kara Di Lingkungan Peradilan Militer</w:t>
      </w:r>
    </w:p>
    <w:p w14:paraId="00000022" w14:textId="77777777" w:rsidR="003768E2" w:rsidRPr="00805042" w:rsidRDefault="008874A9" w:rsidP="006E7DEE">
      <w:pPr>
        <w:spacing w:after="0" w:line="240" w:lineRule="auto"/>
        <w:ind w:firstLine="567"/>
        <w:jc w:val="both"/>
        <w:rPr>
          <w:rFonts w:ascii="Times New Roman" w:eastAsia="Times New Roman" w:hAnsi="Times New Roman" w:cs="Times New Roman"/>
          <w:sz w:val="24"/>
          <w:szCs w:val="24"/>
        </w:rPr>
      </w:pPr>
      <w:proofErr w:type="gramStart"/>
      <w:r w:rsidRPr="00805042">
        <w:rPr>
          <w:rFonts w:ascii="Times New Roman" w:eastAsia="Times New Roman" w:hAnsi="Times New Roman" w:cs="Times New Roman"/>
          <w:sz w:val="24"/>
          <w:szCs w:val="24"/>
        </w:rPr>
        <w:t>Pengadilan yang disebut keadilan konektivitas mempunyai tanggung jawab untuk menentukan apakah suatu tindak pidana, baik tindak pidana biasa maupun tindak pidana khusus seperti tindak pidana korupsi, dilakukan secara be</w:t>
      </w:r>
      <w:r w:rsidRPr="00805042">
        <w:rPr>
          <w:rFonts w:ascii="Times New Roman" w:eastAsia="Times New Roman" w:hAnsi="Times New Roman" w:cs="Times New Roman"/>
          <w:sz w:val="24"/>
          <w:szCs w:val="24"/>
        </w:rPr>
        <w:t>rsama-sama oleh masyarakat sipil dan TNI.</w:t>
      </w:r>
      <w:proofErr w:type="gramEnd"/>
      <w:r w:rsidRPr="00805042">
        <w:rPr>
          <w:rFonts w:ascii="Times New Roman" w:eastAsia="Times New Roman" w:hAnsi="Times New Roman" w:cs="Times New Roman"/>
          <w:sz w:val="24"/>
          <w:szCs w:val="24"/>
        </w:rPr>
        <w:t xml:space="preserve"> Baik pegawai TNI maupun warga sipil (non TNI) yang melakukan penyelewengan </w:t>
      </w:r>
      <w:proofErr w:type="gramStart"/>
      <w:r w:rsidRPr="00805042">
        <w:rPr>
          <w:rFonts w:ascii="Times New Roman" w:eastAsia="Times New Roman" w:hAnsi="Times New Roman" w:cs="Times New Roman"/>
          <w:sz w:val="24"/>
          <w:szCs w:val="24"/>
        </w:rPr>
        <w:t>dana</w:t>
      </w:r>
      <w:proofErr w:type="gramEnd"/>
      <w:r w:rsidRPr="00805042">
        <w:rPr>
          <w:rFonts w:ascii="Times New Roman" w:eastAsia="Times New Roman" w:hAnsi="Times New Roman" w:cs="Times New Roman"/>
          <w:sz w:val="24"/>
          <w:szCs w:val="24"/>
        </w:rPr>
        <w:t xml:space="preserve"> negara dan menimbulkan kerugian negara untuk kepentingan pribadi, kolektif, atau badan hukum dapat melakukan tindak pidana korupsi. </w:t>
      </w:r>
      <w:proofErr w:type="gramStart"/>
      <w:r w:rsidRPr="00805042">
        <w:rPr>
          <w:rFonts w:ascii="Times New Roman" w:eastAsia="Times New Roman" w:hAnsi="Times New Roman" w:cs="Times New Roman"/>
          <w:sz w:val="24"/>
          <w:szCs w:val="24"/>
        </w:rPr>
        <w:t>Ti</w:t>
      </w:r>
      <w:r w:rsidRPr="00805042">
        <w:rPr>
          <w:rFonts w:ascii="Times New Roman" w:eastAsia="Times New Roman" w:hAnsi="Times New Roman" w:cs="Times New Roman"/>
          <w:sz w:val="24"/>
          <w:szCs w:val="24"/>
        </w:rPr>
        <w:t>ndak pidana korupsi harus dituntut di pengadilan yang terhubung jika tindak pidana korupsi tersebut terjadi.</w:t>
      </w:r>
      <w:proofErr w:type="gramEnd"/>
    </w:p>
    <w:p w14:paraId="00000023" w14:textId="77777777" w:rsidR="003768E2" w:rsidRPr="00805042" w:rsidRDefault="008874A9" w:rsidP="006E7DEE">
      <w:pPr>
        <w:spacing w:after="0" w:line="240" w:lineRule="auto"/>
        <w:ind w:firstLine="567"/>
        <w:jc w:val="both"/>
        <w:rPr>
          <w:rFonts w:ascii="Times New Roman" w:eastAsia="Times New Roman" w:hAnsi="Times New Roman" w:cs="Times New Roman"/>
          <w:sz w:val="24"/>
          <w:szCs w:val="24"/>
        </w:rPr>
      </w:pPr>
      <w:proofErr w:type="gramStart"/>
      <w:r w:rsidRPr="00805042">
        <w:rPr>
          <w:rFonts w:ascii="Times New Roman" w:eastAsia="Times New Roman" w:hAnsi="Times New Roman" w:cs="Times New Roman"/>
          <w:sz w:val="24"/>
          <w:szCs w:val="24"/>
        </w:rPr>
        <w:t>Kejahatan konektivitas adalah kejahatan yang dilakukan secara bersama-sama oleh anggota sistem peradilan umum dan sistem peradilan militer.</w:t>
      </w:r>
      <w:proofErr w:type="gramEnd"/>
      <w:r w:rsidRPr="00805042">
        <w:rPr>
          <w:rFonts w:ascii="Times New Roman" w:eastAsia="Times New Roman" w:hAnsi="Times New Roman" w:cs="Times New Roman"/>
          <w:sz w:val="24"/>
          <w:szCs w:val="24"/>
        </w:rPr>
        <w:t xml:space="preserve"> </w:t>
      </w:r>
      <w:proofErr w:type="gramStart"/>
      <w:r w:rsidRPr="00805042">
        <w:rPr>
          <w:rFonts w:ascii="Times New Roman" w:eastAsia="Times New Roman" w:hAnsi="Times New Roman" w:cs="Times New Roman"/>
          <w:sz w:val="24"/>
          <w:szCs w:val="24"/>
        </w:rPr>
        <w:t>Kejahat</w:t>
      </w:r>
      <w:r w:rsidRPr="00805042">
        <w:rPr>
          <w:rFonts w:ascii="Times New Roman" w:eastAsia="Times New Roman" w:hAnsi="Times New Roman" w:cs="Times New Roman"/>
          <w:sz w:val="24"/>
          <w:szCs w:val="24"/>
        </w:rPr>
        <w:t>an-kejahatan ini diselidiki dan diadili oleh pengadilan dalam sistem peradilan umum, kecuali Menteri Pertahanan dan Keamanan memutuskan dengan persetujuan Menteri Kehakiman bahwa kasus tersebut harus diselidiki dan diadili oleh pengadilan dalam sistem pera</w:t>
      </w:r>
      <w:r w:rsidRPr="00805042">
        <w:rPr>
          <w:rFonts w:ascii="Times New Roman" w:eastAsia="Times New Roman" w:hAnsi="Times New Roman" w:cs="Times New Roman"/>
          <w:sz w:val="24"/>
          <w:szCs w:val="24"/>
        </w:rPr>
        <w:t>dilan militer.</w:t>
      </w:r>
      <w:proofErr w:type="gramEnd"/>
      <w:r w:rsidRPr="00805042">
        <w:rPr>
          <w:rFonts w:ascii="Times New Roman" w:eastAsia="Times New Roman" w:hAnsi="Times New Roman" w:cs="Times New Roman"/>
          <w:sz w:val="24"/>
          <w:szCs w:val="24"/>
          <w:vertAlign w:val="superscript"/>
        </w:rPr>
        <w:footnoteReference w:id="8"/>
      </w:r>
    </w:p>
    <w:p w14:paraId="00000024" w14:textId="77777777" w:rsidR="003768E2" w:rsidRPr="00805042" w:rsidRDefault="008874A9" w:rsidP="006E7DEE">
      <w:pPr>
        <w:spacing w:after="0" w:line="240" w:lineRule="auto"/>
        <w:ind w:firstLine="567"/>
        <w:jc w:val="both"/>
        <w:rPr>
          <w:rFonts w:ascii="Times New Roman" w:eastAsia="Times New Roman" w:hAnsi="Times New Roman" w:cs="Times New Roman"/>
          <w:sz w:val="24"/>
          <w:szCs w:val="24"/>
        </w:rPr>
      </w:pPr>
      <w:r w:rsidRPr="00805042">
        <w:rPr>
          <w:rFonts w:ascii="Times New Roman" w:eastAsia="Times New Roman" w:hAnsi="Times New Roman" w:cs="Times New Roman"/>
          <w:sz w:val="24"/>
          <w:szCs w:val="24"/>
        </w:rPr>
        <w:t xml:space="preserve">Jika dilihat dari proses penyelesaian perkara keterhubungan yang ditangani oleh Peradilan Militer, pada dasarnya </w:t>
      </w:r>
      <w:proofErr w:type="gramStart"/>
      <w:r w:rsidRPr="00805042">
        <w:rPr>
          <w:rFonts w:ascii="Times New Roman" w:eastAsia="Times New Roman" w:hAnsi="Times New Roman" w:cs="Times New Roman"/>
          <w:sz w:val="24"/>
          <w:szCs w:val="24"/>
        </w:rPr>
        <w:t>sama</w:t>
      </w:r>
      <w:proofErr w:type="gramEnd"/>
      <w:r w:rsidRPr="00805042">
        <w:rPr>
          <w:rFonts w:ascii="Times New Roman" w:eastAsia="Times New Roman" w:hAnsi="Times New Roman" w:cs="Times New Roman"/>
          <w:sz w:val="24"/>
          <w:szCs w:val="24"/>
        </w:rPr>
        <w:t xml:space="preserve"> dengan tata cara penyelesaian perkara pidana dalam konteks pidana yang lebih luas, yaitu melalui empat tahap, yaitu:</w:t>
      </w:r>
    </w:p>
    <w:p w14:paraId="00000025" w14:textId="77777777" w:rsidR="003768E2" w:rsidRPr="00805042" w:rsidRDefault="008874A9" w:rsidP="006E7DEE">
      <w:pPr>
        <w:numPr>
          <w:ilvl w:val="0"/>
          <w:numId w:val="4"/>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4"/>
          <w:szCs w:val="24"/>
        </w:rPr>
      </w:pPr>
      <w:r w:rsidRPr="00805042">
        <w:rPr>
          <w:rFonts w:ascii="Times New Roman" w:eastAsia="Times New Roman" w:hAnsi="Times New Roman" w:cs="Times New Roman"/>
          <w:color w:val="000000"/>
          <w:sz w:val="24"/>
          <w:szCs w:val="24"/>
        </w:rPr>
        <w:t>Penyi</w:t>
      </w:r>
      <w:r w:rsidRPr="00805042">
        <w:rPr>
          <w:rFonts w:ascii="Times New Roman" w:eastAsia="Times New Roman" w:hAnsi="Times New Roman" w:cs="Times New Roman"/>
          <w:color w:val="000000"/>
          <w:sz w:val="24"/>
          <w:szCs w:val="24"/>
        </w:rPr>
        <w:t xml:space="preserve">dikan </w:t>
      </w:r>
    </w:p>
    <w:p w14:paraId="00000026" w14:textId="77777777" w:rsidR="003768E2" w:rsidRPr="00805042" w:rsidRDefault="008874A9" w:rsidP="006E7DEE">
      <w:pPr>
        <w:numPr>
          <w:ilvl w:val="0"/>
          <w:numId w:val="4"/>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4"/>
          <w:szCs w:val="24"/>
        </w:rPr>
      </w:pPr>
      <w:r w:rsidRPr="00805042">
        <w:rPr>
          <w:rFonts w:ascii="Times New Roman" w:eastAsia="Times New Roman" w:hAnsi="Times New Roman" w:cs="Times New Roman"/>
          <w:color w:val="000000"/>
          <w:sz w:val="24"/>
          <w:szCs w:val="24"/>
        </w:rPr>
        <w:t xml:space="preserve">Penuntutan </w:t>
      </w:r>
    </w:p>
    <w:p w14:paraId="00000027" w14:textId="77777777" w:rsidR="003768E2" w:rsidRPr="00805042" w:rsidRDefault="008874A9" w:rsidP="006E7DEE">
      <w:pPr>
        <w:numPr>
          <w:ilvl w:val="0"/>
          <w:numId w:val="4"/>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4"/>
          <w:szCs w:val="24"/>
        </w:rPr>
      </w:pPr>
      <w:r w:rsidRPr="00805042">
        <w:rPr>
          <w:rFonts w:ascii="Times New Roman" w:eastAsia="Times New Roman" w:hAnsi="Times New Roman" w:cs="Times New Roman"/>
          <w:color w:val="000000"/>
          <w:sz w:val="24"/>
          <w:szCs w:val="24"/>
        </w:rPr>
        <w:t xml:space="preserve">Persidangan </w:t>
      </w:r>
    </w:p>
    <w:p w14:paraId="00000028" w14:textId="77777777" w:rsidR="003768E2" w:rsidRPr="00805042" w:rsidRDefault="008874A9" w:rsidP="006E7DEE">
      <w:pPr>
        <w:numPr>
          <w:ilvl w:val="0"/>
          <w:numId w:val="4"/>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4"/>
          <w:szCs w:val="24"/>
        </w:rPr>
      </w:pPr>
      <w:r w:rsidRPr="00805042">
        <w:rPr>
          <w:rFonts w:ascii="Times New Roman" w:eastAsia="Times New Roman" w:hAnsi="Times New Roman" w:cs="Times New Roman"/>
          <w:color w:val="000000"/>
          <w:sz w:val="24"/>
          <w:szCs w:val="24"/>
        </w:rPr>
        <w:t>Tahap Pelaksanaan Putusan Hakim</w:t>
      </w:r>
    </w:p>
    <w:p w14:paraId="00000029" w14:textId="77777777" w:rsidR="003768E2" w:rsidRPr="00805042" w:rsidRDefault="008874A9" w:rsidP="006E7DEE">
      <w:pPr>
        <w:spacing w:after="0" w:line="240" w:lineRule="auto"/>
        <w:ind w:firstLine="567"/>
        <w:jc w:val="both"/>
        <w:rPr>
          <w:rFonts w:ascii="Times New Roman" w:eastAsia="Times New Roman" w:hAnsi="Times New Roman" w:cs="Times New Roman"/>
          <w:sz w:val="24"/>
          <w:szCs w:val="24"/>
        </w:rPr>
      </w:pPr>
      <w:r w:rsidRPr="00805042">
        <w:rPr>
          <w:rFonts w:ascii="Times New Roman" w:eastAsia="Times New Roman" w:hAnsi="Times New Roman" w:cs="Times New Roman"/>
          <w:sz w:val="24"/>
          <w:szCs w:val="24"/>
        </w:rPr>
        <w:t>Tindakan-tindakan yang dilakukan sehubungan dengan proses mengadili perkara pidana adalah sebagai berikut:</w:t>
      </w:r>
      <w:r w:rsidRPr="00805042">
        <w:rPr>
          <w:rFonts w:ascii="Times New Roman" w:eastAsia="Times New Roman" w:hAnsi="Times New Roman" w:cs="Times New Roman"/>
          <w:sz w:val="24"/>
          <w:szCs w:val="24"/>
          <w:vertAlign w:val="superscript"/>
        </w:rPr>
        <w:footnoteReference w:id="9"/>
      </w:r>
    </w:p>
    <w:p w14:paraId="0000002A" w14:textId="77777777" w:rsidR="003768E2" w:rsidRPr="00805042" w:rsidRDefault="008874A9" w:rsidP="00805042">
      <w:pPr>
        <w:numPr>
          <w:ilvl w:val="0"/>
          <w:numId w:val="5"/>
        </w:numPr>
        <w:pBdr>
          <w:top w:val="nil"/>
          <w:left w:val="nil"/>
          <w:bottom w:val="nil"/>
          <w:right w:val="nil"/>
          <w:between w:val="nil"/>
        </w:pBdr>
        <w:spacing w:after="0" w:line="240" w:lineRule="auto"/>
        <w:ind w:left="284" w:hanging="284"/>
        <w:jc w:val="both"/>
        <w:rPr>
          <w:rFonts w:ascii="Times New Roman" w:eastAsia="Times New Roman" w:hAnsi="Times New Roman" w:cs="Times New Roman"/>
          <w:b/>
          <w:color w:val="000000"/>
          <w:sz w:val="24"/>
          <w:szCs w:val="24"/>
        </w:rPr>
      </w:pPr>
      <w:r w:rsidRPr="00805042">
        <w:rPr>
          <w:rFonts w:ascii="Times New Roman" w:eastAsia="Times New Roman" w:hAnsi="Times New Roman" w:cs="Times New Roman"/>
          <w:b/>
          <w:color w:val="000000"/>
          <w:sz w:val="24"/>
          <w:szCs w:val="24"/>
        </w:rPr>
        <w:t>Tahap Penyidikan</w:t>
      </w:r>
    </w:p>
    <w:p w14:paraId="0000002B" w14:textId="77777777" w:rsidR="003768E2" w:rsidRPr="00805042" w:rsidRDefault="008874A9" w:rsidP="006E7DEE">
      <w:pPr>
        <w:spacing w:after="0" w:line="240" w:lineRule="auto"/>
        <w:ind w:firstLine="567"/>
        <w:jc w:val="both"/>
        <w:rPr>
          <w:rFonts w:ascii="Times New Roman" w:eastAsia="Times New Roman" w:hAnsi="Times New Roman" w:cs="Times New Roman"/>
          <w:sz w:val="24"/>
          <w:szCs w:val="24"/>
        </w:rPr>
      </w:pPr>
      <w:proofErr w:type="gramStart"/>
      <w:r w:rsidRPr="00805042">
        <w:rPr>
          <w:rFonts w:ascii="Times New Roman" w:eastAsia="Times New Roman" w:hAnsi="Times New Roman" w:cs="Times New Roman"/>
          <w:sz w:val="24"/>
          <w:szCs w:val="24"/>
        </w:rPr>
        <w:t>Penyidikan diawali dengan adanya laporan, pengaduan, atau ketika seseorang tertangkap basah melakukan perbuatan tersebut.</w:t>
      </w:r>
      <w:proofErr w:type="gramEnd"/>
      <w:r w:rsidRPr="00805042">
        <w:rPr>
          <w:rFonts w:ascii="Times New Roman" w:eastAsia="Times New Roman" w:hAnsi="Times New Roman" w:cs="Times New Roman"/>
          <w:sz w:val="24"/>
          <w:szCs w:val="24"/>
        </w:rPr>
        <w:t xml:space="preserve"> Penyidikan pelanggaran disiplin ditangani oleh ANKUM, sedangkan tindak pidana pidana ditangani oleh Polisi Militer (POM) bekerja </w:t>
      </w:r>
      <w:proofErr w:type="gramStart"/>
      <w:r w:rsidRPr="00805042">
        <w:rPr>
          <w:rFonts w:ascii="Times New Roman" w:eastAsia="Times New Roman" w:hAnsi="Times New Roman" w:cs="Times New Roman"/>
          <w:sz w:val="24"/>
          <w:szCs w:val="24"/>
        </w:rPr>
        <w:t>sama</w:t>
      </w:r>
      <w:proofErr w:type="gramEnd"/>
      <w:r w:rsidRPr="00805042">
        <w:rPr>
          <w:rFonts w:ascii="Times New Roman" w:eastAsia="Times New Roman" w:hAnsi="Times New Roman" w:cs="Times New Roman"/>
          <w:sz w:val="24"/>
          <w:szCs w:val="24"/>
        </w:rPr>
        <w:t xml:space="preserve"> </w:t>
      </w:r>
      <w:r w:rsidRPr="00805042">
        <w:rPr>
          <w:rFonts w:ascii="Times New Roman" w:eastAsia="Times New Roman" w:hAnsi="Times New Roman" w:cs="Times New Roman"/>
          <w:sz w:val="24"/>
          <w:szCs w:val="24"/>
        </w:rPr>
        <w:t xml:space="preserve">dengan Jaksa Militer atau Oditurat Militer (OTMIL). Penyidik berhak menggeledahnya, menahannya tidak lebih dari 20 hari, dan menyita bukti </w:t>
      </w:r>
      <w:proofErr w:type="gramStart"/>
      <w:r w:rsidRPr="00805042">
        <w:rPr>
          <w:rFonts w:ascii="Times New Roman" w:eastAsia="Times New Roman" w:hAnsi="Times New Roman" w:cs="Times New Roman"/>
          <w:sz w:val="24"/>
          <w:szCs w:val="24"/>
        </w:rPr>
        <w:t>apa</w:t>
      </w:r>
      <w:proofErr w:type="gramEnd"/>
      <w:r w:rsidRPr="00805042">
        <w:rPr>
          <w:rFonts w:ascii="Times New Roman" w:eastAsia="Times New Roman" w:hAnsi="Times New Roman" w:cs="Times New Roman"/>
          <w:sz w:val="24"/>
          <w:szCs w:val="24"/>
        </w:rPr>
        <w:t xml:space="preserve"> pun yang relevan dengan kejahatan yang sedang diselidikinya. </w:t>
      </w:r>
      <w:proofErr w:type="gramStart"/>
      <w:r w:rsidRPr="00805042">
        <w:rPr>
          <w:rFonts w:ascii="Times New Roman" w:eastAsia="Times New Roman" w:hAnsi="Times New Roman" w:cs="Times New Roman"/>
          <w:sz w:val="24"/>
          <w:szCs w:val="24"/>
        </w:rPr>
        <w:t>Setelah penyidikan selesai, Badan Polisi Militer (PO</w:t>
      </w:r>
      <w:r w:rsidRPr="00805042">
        <w:rPr>
          <w:rFonts w:ascii="Times New Roman" w:eastAsia="Times New Roman" w:hAnsi="Times New Roman" w:cs="Times New Roman"/>
          <w:sz w:val="24"/>
          <w:szCs w:val="24"/>
        </w:rPr>
        <w:t>M) membuat berita acara penyidikan yang selanjutnya dikirimkan ke kejaksaan militer.</w:t>
      </w:r>
      <w:proofErr w:type="gramEnd"/>
      <w:r w:rsidRPr="00805042">
        <w:rPr>
          <w:rFonts w:ascii="Times New Roman" w:eastAsia="Times New Roman" w:hAnsi="Times New Roman" w:cs="Times New Roman"/>
          <w:sz w:val="24"/>
          <w:szCs w:val="24"/>
        </w:rPr>
        <w:t xml:space="preserve"> </w:t>
      </w:r>
      <w:proofErr w:type="gramStart"/>
      <w:r w:rsidRPr="00805042">
        <w:rPr>
          <w:rFonts w:ascii="Times New Roman" w:eastAsia="Times New Roman" w:hAnsi="Times New Roman" w:cs="Times New Roman"/>
          <w:sz w:val="24"/>
          <w:szCs w:val="24"/>
        </w:rPr>
        <w:t>Tahap penuntutan yang dilakukan oleh jaksa militer adalah tahap berikutnya.</w:t>
      </w:r>
      <w:proofErr w:type="gramEnd"/>
    </w:p>
    <w:p w14:paraId="0000002C" w14:textId="77777777" w:rsidR="003768E2" w:rsidRPr="00805042" w:rsidRDefault="008874A9" w:rsidP="00805042">
      <w:pPr>
        <w:numPr>
          <w:ilvl w:val="0"/>
          <w:numId w:val="5"/>
        </w:numPr>
        <w:pBdr>
          <w:top w:val="nil"/>
          <w:left w:val="nil"/>
          <w:bottom w:val="nil"/>
          <w:right w:val="nil"/>
          <w:between w:val="nil"/>
        </w:pBdr>
        <w:spacing w:after="0" w:line="240" w:lineRule="auto"/>
        <w:ind w:left="284" w:hanging="284"/>
        <w:jc w:val="both"/>
        <w:rPr>
          <w:rFonts w:ascii="Times New Roman" w:eastAsia="Times New Roman" w:hAnsi="Times New Roman" w:cs="Times New Roman"/>
          <w:b/>
          <w:color w:val="000000"/>
          <w:sz w:val="24"/>
          <w:szCs w:val="24"/>
        </w:rPr>
      </w:pPr>
      <w:r w:rsidRPr="00805042">
        <w:rPr>
          <w:rFonts w:ascii="Times New Roman" w:eastAsia="Times New Roman" w:hAnsi="Times New Roman" w:cs="Times New Roman"/>
          <w:b/>
          <w:color w:val="000000"/>
          <w:sz w:val="24"/>
          <w:szCs w:val="24"/>
        </w:rPr>
        <w:t xml:space="preserve">Tahap </w:t>
      </w:r>
      <w:r w:rsidRPr="00805042">
        <w:rPr>
          <w:rFonts w:ascii="Times New Roman" w:eastAsia="Times New Roman" w:hAnsi="Times New Roman" w:cs="Times New Roman"/>
          <w:b/>
          <w:sz w:val="24"/>
          <w:szCs w:val="24"/>
        </w:rPr>
        <w:t>Penuntutan</w:t>
      </w:r>
    </w:p>
    <w:p w14:paraId="0000002D" w14:textId="77777777" w:rsidR="003768E2" w:rsidRPr="00805042" w:rsidRDefault="008874A9" w:rsidP="006E7DEE">
      <w:pPr>
        <w:spacing w:after="0" w:line="240" w:lineRule="auto"/>
        <w:ind w:firstLine="567"/>
        <w:jc w:val="both"/>
        <w:rPr>
          <w:rFonts w:ascii="Times New Roman" w:eastAsia="Times New Roman" w:hAnsi="Times New Roman" w:cs="Times New Roman"/>
          <w:sz w:val="24"/>
          <w:szCs w:val="24"/>
        </w:rPr>
      </w:pPr>
      <w:proofErr w:type="gramStart"/>
      <w:r w:rsidRPr="00805042">
        <w:rPr>
          <w:rFonts w:ascii="Times New Roman" w:eastAsia="Times New Roman" w:hAnsi="Times New Roman" w:cs="Times New Roman"/>
          <w:sz w:val="24"/>
          <w:szCs w:val="24"/>
        </w:rPr>
        <w:t>Nomor registrasi perkara dihasilkan setelah BAP diterima oleh Jaksa Militer at</w:t>
      </w:r>
      <w:r w:rsidRPr="00805042">
        <w:rPr>
          <w:rFonts w:ascii="Times New Roman" w:eastAsia="Times New Roman" w:hAnsi="Times New Roman" w:cs="Times New Roman"/>
          <w:sz w:val="24"/>
          <w:szCs w:val="24"/>
        </w:rPr>
        <w:t>au Oditurat Militer (OTMIL).</w:t>
      </w:r>
      <w:proofErr w:type="gramEnd"/>
      <w:r w:rsidRPr="00805042">
        <w:rPr>
          <w:rFonts w:ascii="Times New Roman" w:eastAsia="Times New Roman" w:hAnsi="Times New Roman" w:cs="Times New Roman"/>
          <w:sz w:val="24"/>
          <w:szCs w:val="24"/>
        </w:rPr>
        <w:t xml:space="preserve"> Selanjutnya, Jaksa Militer atau Oditurat Militer (OTMIL) akan menyampaikan rekomendasi penyelesaian kasus tersebut kepada Pejabat Penyelesaian Perkara (PAPERA), yang dapat mencakup penutupan kasus, mengesampingkan, atau mengaju</w:t>
      </w:r>
      <w:r w:rsidRPr="00805042">
        <w:rPr>
          <w:rFonts w:ascii="Times New Roman" w:eastAsia="Times New Roman" w:hAnsi="Times New Roman" w:cs="Times New Roman"/>
          <w:sz w:val="24"/>
          <w:szCs w:val="24"/>
        </w:rPr>
        <w:t xml:space="preserve">kannya untuk diadili. Berita acara pendapat Jaksa Militer atau Oditurat Militer (OTMIL) </w:t>
      </w:r>
      <w:proofErr w:type="gramStart"/>
      <w:r w:rsidRPr="00805042">
        <w:rPr>
          <w:rFonts w:ascii="Times New Roman" w:eastAsia="Times New Roman" w:hAnsi="Times New Roman" w:cs="Times New Roman"/>
          <w:sz w:val="24"/>
          <w:szCs w:val="24"/>
        </w:rPr>
        <w:t>akan</w:t>
      </w:r>
      <w:proofErr w:type="gramEnd"/>
      <w:r w:rsidRPr="00805042">
        <w:rPr>
          <w:rFonts w:ascii="Times New Roman" w:eastAsia="Times New Roman" w:hAnsi="Times New Roman" w:cs="Times New Roman"/>
          <w:sz w:val="24"/>
          <w:szCs w:val="24"/>
        </w:rPr>
        <w:t xml:space="preserve"> ditandatangani oleh Kepala Jaksa Militer atau Oditurat Militer (OTMIL). Jika dalam penyelesaian perkara sependapat dengan Kepala Jaksa Militer atau Oditurat Milite</w:t>
      </w:r>
      <w:r w:rsidRPr="00805042">
        <w:rPr>
          <w:rFonts w:ascii="Times New Roman" w:eastAsia="Times New Roman" w:hAnsi="Times New Roman" w:cs="Times New Roman"/>
          <w:sz w:val="24"/>
          <w:szCs w:val="24"/>
        </w:rPr>
        <w:t>r (OTMIL), masalah akan ditutup, Apabila penyelesaian perkara menerima Kepala Jaksa Militer atau Oditurat Militer (OTMIL),  selanjutnya akan diterbitkan Surat Penutupan Perkara (SKEPTURA). Surat Keputusan Penanganan Perkara (SKEPPERA) akan diterbitkan oleh</w:t>
      </w:r>
      <w:r w:rsidRPr="00805042">
        <w:rPr>
          <w:rFonts w:ascii="Times New Roman" w:eastAsia="Times New Roman" w:hAnsi="Times New Roman" w:cs="Times New Roman"/>
          <w:sz w:val="24"/>
          <w:szCs w:val="24"/>
        </w:rPr>
        <w:t xml:space="preserve"> PAPERA pada saat Jaksa Militer atau Oditurat Militer (OTMIL</w:t>
      </w:r>
      <w:proofErr w:type="gramStart"/>
      <w:r w:rsidRPr="00805042">
        <w:rPr>
          <w:rFonts w:ascii="Times New Roman" w:eastAsia="Times New Roman" w:hAnsi="Times New Roman" w:cs="Times New Roman"/>
          <w:sz w:val="24"/>
          <w:szCs w:val="24"/>
        </w:rPr>
        <w:t>)  berbentuk</w:t>
      </w:r>
      <w:proofErr w:type="gramEnd"/>
      <w:r w:rsidRPr="00805042">
        <w:rPr>
          <w:rFonts w:ascii="Times New Roman" w:eastAsia="Times New Roman" w:hAnsi="Times New Roman" w:cs="Times New Roman"/>
          <w:sz w:val="24"/>
          <w:szCs w:val="24"/>
        </w:rPr>
        <w:t xml:space="preserve"> pemindahan perkara ke persidangan.</w:t>
      </w:r>
    </w:p>
    <w:p w14:paraId="0000002E" w14:textId="77777777" w:rsidR="003768E2" w:rsidRPr="00805042" w:rsidRDefault="008874A9" w:rsidP="006E7DEE">
      <w:pPr>
        <w:spacing w:after="0" w:line="240" w:lineRule="auto"/>
        <w:ind w:firstLine="567"/>
        <w:jc w:val="both"/>
        <w:rPr>
          <w:rFonts w:ascii="Times New Roman" w:eastAsia="Times New Roman" w:hAnsi="Times New Roman" w:cs="Times New Roman"/>
          <w:sz w:val="24"/>
          <w:szCs w:val="24"/>
        </w:rPr>
      </w:pPr>
      <w:r w:rsidRPr="00805042">
        <w:rPr>
          <w:rFonts w:ascii="Times New Roman" w:eastAsia="Times New Roman" w:hAnsi="Times New Roman" w:cs="Times New Roman"/>
          <w:sz w:val="24"/>
          <w:szCs w:val="24"/>
        </w:rPr>
        <w:t xml:space="preserve">Jaksa Militer atau Oditurat Militer (OTMIL) </w:t>
      </w:r>
      <w:proofErr w:type="gramStart"/>
      <w:r w:rsidRPr="00805042">
        <w:rPr>
          <w:rFonts w:ascii="Times New Roman" w:eastAsia="Times New Roman" w:hAnsi="Times New Roman" w:cs="Times New Roman"/>
          <w:sz w:val="24"/>
          <w:szCs w:val="24"/>
        </w:rPr>
        <w:t>akan</w:t>
      </w:r>
      <w:proofErr w:type="gramEnd"/>
      <w:r w:rsidRPr="00805042">
        <w:rPr>
          <w:rFonts w:ascii="Times New Roman" w:eastAsia="Times New Roman" w:hAnsi="Times New Roman" w:cs="Times New Roman"/>
          <w:sz w:val="24"/>
          <w:szCs w:val="24"/>
        </w:rPr>
        <w:t xml:space="preserve"> menyusun surat dakwaan berdasarkan SKEPPERA, melimpahkan nya, dan kemudian melimpahkannya ke Pengad</w:t>
      </w:r>
      <w:r w:rsidRPr="00805042">
        <w:rPr>
          <w:rFonts w:ascii="Times New Roman" w:eastAsia="Times New Roman" w:hAnsi="Times New Roman" w:cs="Times New Roman"/>
          <w:sz w:val="24"/>
          <w:szCs w:val="24"/>
        </w:rPr>
        <w:t xml:space="preserve">ilan Militer. Kepala Mahkamah Militer (MAHMIL) </w:t>
      </w:r>
      <w:proofErr w:type="gramStart"/>
      <w:r w:rsidRPr="00805042">
        <w:rPr>
          <w:rFonts w:ascii="Times New Roman" w:eastAsia="Times New Roman" w:hAnsi="Times New Roman" w:cs="Times New Roman"/>
          <w:sz w:val="24"/>
          <w:szCs w:val="24"/>
        </w:rPr>
        <w:t>akan</w:t>
      </w:r>
      <w:proofErr w:type="gramEnd"/>
      <w:r w:rsidRPr="00805042">
        <w:rPr>
          <w:rFonts w:ascii="Times New Roman" w:eastAsia="Times New Roman" w:hAnsi="Times New Roman" w:cs="Times New Roman"/>
          <w:sz w:val="24"/>
          <w:szCs w:val="24"/>
        </w:rPr>
        <w:t xml:space="preserve"> menentukan kelengkapan berkasnya </w:t>
      </w:r>
      <w:r w:rsidRPr="00805042">
        <w:rPr>
          <w:rFonts w:ascii="Times New Roman" w:eastAsia="Times New Roman" w:hAnsi="Times New Roman" w:cs="Times New Roman"/>
          <w:sz w:val="24"/>
          <w:szCs w:val="24"/>
        </w:rPr>
        <w:lastRenderedPageBreak/>
        <w:t xml:space="preserve">setelah menerima surat pengalihan perkara dan surat dakwaan. Berkas perkara </w:t>
      </w:r>
      <w:proofErr w:type="gramStart"/>
      <w:r w:rsidRPr="00805042">
        <w:rPr>
          <w:rFonts w:ascii="Times New Roman" w:eastAsia="Times New Roman" w:hAnsi="Times New Roman" w:cs="Times New Roman"/>
          <w:sz w:val="24"/>
          <w:szCs w:val="24"/>
        </w:rPr>
        <w:t>akan</w:t>
      </w:r>
      <w:proofErr w:type="gramEnd"/>
      <w:r w:rsidRPr="00805042">
        <w:rPr>
          <w:rFonts w:ascii="Times New Roman" w:eastAsia="Times New Roman" w:hAnsi="Times New Roman" w:cs="Times New Roman"/>
          <w:sz w:val="24"/>
          <w:szCs w:val="24"/>
        </w:rPr>
        <w:t xml:space="preserve"> dikirim kembali ke Jaksa Militer atau Oditur Militer (OTMIL) untuk dilengkapi jika Kepala </w:t>
      </w:r>
      <w:r w:rsidRPr="00805042">
        <w:rPr>
          <w:rFonts w:ascii="Times New Roman" w:eastAsia="Times New Roman" w:hAnsi="Times New Roman" w:cs="Times New Roman"/>
          <w:sz w:val="24"/>
          <w:szCs w:val="24"/>
        </w:rPr>
        <w:t xml:space="preserve">Mahkamah Militer (MAHMIL) menilai masih ada yang kurang. </w:t>
      </w:r>
      <w:proofErr w:type="gramStart"/>
      <w:r w:rsidRPr="00805042">
        <w:rPr>
          <w:rFonts w:ascii="Times New Roman" w:eastAsia="Times New Roman" w:hAnsi="Times New Roman" w:cs="Times New Roman"/>
          <w:sz w:val="24"/>
          <w:szCs w:val="24"/>
        </w:rPr>
        <w:t>Setelah kamu memutuskan bahwa sudah cukup banyak yang diucapkan, Kepala MAHMIL memilih majelis hakim dan hari persidangan kasus tersebut.</w:t>
      </w:r>
      <w:proofErr w:type="gramEnd"/>
    </w:p>
    <w:p w14:paraId="0000002F" w14:textId="77777777" w:rsidR="003768E2" w:rsidRPr="00805042" w:rsidRDefault="008874A9" w:rsidP="00805042">
      <w:pPr>
        <w:numPr>
          <w:ilvl w:val="0"/>
          <w:numId w:val="5"/>
        </w:numPr>
        <w:pBdr>
          <w:top w:val="nil"/>
          <w:left w:val="nil"/>
          <w:bottom w:val="nil"/>
          <w:right w:val="nil"/>
          <w:between w:val="nil"/>
        </w:pBdr>
        <w:spacing w:after="0" w:line="240" w:lineRule="auto"/>
        <w:ind w:left="284" w:hanging="284"/>
        <w:jc w:val="both"/>
        <w:rPr>
          <w:rFonts w:ascii="Times New Roman" w:eastAsia="Times New Roman" w:hAnsi="Times New Roman" w:cs="Times New Roman"/>
          <w:b/>
          <w:color w:val="000000"/>
          <w:sz w:val="24"/>
          <w:szCs w:val="24"/>
        </w:rPr>
      </w:pPr>
      <w:r w:rsidRPr="00805042">
        <w:rPr>
          <w:rFonts w:ascii="Times New Roman" w:eastAsia="Times New Roman" w:hAnsi="Times New Roman" w:cs="Times New Roman"/>
          <w:b/>
          <w:color w:val="000000"/>
          <w:sz w:val="24"/>
          <w:szCs w:val="24"/>
        </w:rPr>
        <w:t>Tahap Persidangan</w:t>
      </w:r>
    </w:p>
    <w:p w14:paraId="00000030" w14:textId="77777777" w:rsidR="003768E2" w:rsidRPr="00805042" w:rsidRDefault="008874A9" w:rsidP="006E7DEE">
      <w:pPr>
        <w:spacing w:after="0" w:line="240" w:lineRule="auto"/>
        <w:ind w:firstLine="567"/>
        <w:jc w:val="both"/>
        <w:rPr>
          <w:rFonts w:ascii="Times New Roman" w:eastAsia="Times New Roman" w:hAnsi="Times New Roman" w:cs="Times New Roman"/>
          <w:sz w:val="24"/>
          <w:szCs w:val="24"/>
        </w:rPr>
      </w:pPr>
      <w:r w:rsidRPr="00805042">
        <w:rPr>
          <w:rFonts w:ascii="Times New Roman" w:eastAsia="Times New Roman" w:hAnsi="Times New Roman" w:cs="Times New Roman"/>
          <w:sz w:val="24"/>
          <w:szCs w:val="24"/>
        </w:rPr>
        <w:t xml:space="preserve">Prosedur Pemeriksaan Biasa (KUHAP) berlaku </w:t>
      </w:r>
      <w:r w:rsidRPr="00805042">
        <w:rPr>
          <w:rFonts w:ascii="Times New Roman" w:eastAsia="Times New Roman" w:hAnsi="Times New Roman" w:cs="Times New Roman"/>
          <w:sz w:val="24"/>
          <w:szCs w:val="24"/>
        </w:rPr>
        <w:t xml:space="preserve">sepanjang seluruh proses pemeriksaan selama persidangan. </w:t>
      </w:r>
      <w:proofErr w:type="gramStart"/>
      <w:r w:rsidRPr="00805042">
        <w:rPr>
          <w:rFonts w:ascii="Times New Roman" w:eastAsia="Times New Roman" w:hAnsi="Times New Roman" w:cs="Times New Roman"/>
          <w:sz w:val="24"/>
          <w:szCs w:val="24"/>
        </w:rPr>
        <w:t>Karena KUHAP UU Nomor 6 Tahun 1950 dan UU Nomor 1 Drt Tahun 1958—berlaku sebagai kaidah umum dalam Lingkungan Peradilan Militer, maka KUHAP dijadikan acuan.</w:t>
      </w:r>
      <w:proofErr w:type="gramEnd"/>
      <w:r w:rsidRPr="00805042">
        <w:rPr>
          <w:rFonts w:ascii="Times New Roman" w:eastAsia="Times New Roman" w:hAnsi="Times New Roman" w:cs="Times New Roman"/>
          <w:sz w:val="24"/>
          <w:szCs w:val="24"/>
        </w:rPr>
        <w:t xml:space="preserve"> Undang-Undang Nomor 6 Tahun 1950 dan Undan</w:t>
      </w:r>
      <w:r w:rsidRPr="00805042">
        <w:rPr>
          <w:rFonts w:ascii="Times New Roman" w:eastAsia="Times New Roman" w:hAnsi="Times New Roman" w:cs="Times New Roman"/>
          <w:sz w:val="24"/>
          <w:szCs w:val="24"/>
        </w:rPr>
        <w:t>g-Undang Nomor 1 Drt Tahun 1958 tidak mengatur apa pun secara jelas, sehingga ketentuan KUHAP harus dianggap berlaku.</w:t>
      </w:r>
      <w:r w:rsidRPr="00805042">
        <w:rPr>
          <w:rFonts w:ascii="Times New Roman" w:eastAsia="Times New Roman" w:hAnsi="Times New Roman" w:cs="Times New Roman"/>
          <w:sz w:val="24"/>
          <w:szCs w:val="24"/>
          <w:vertAlign w:val="superscript"/>
        </w:rPr>
        <w:footnoteReference w:id="10"/>
      </w:r>
    </w:p>
    <w:p w14:paraId="00000031" w14:textId="77777777" w:rsidR="003768E2" w:rsidRPr="00805042" w:rsidRDefault="008874A9" w:rsidP="006E7DEE">
      <w:pPr>
        <w:spacing w:after="0" w:line="240" w:lineRule="auto"/>
        <w:ind w:firstLine="567"/>
        <w:jc w:val="both"/>
        <w:rPr>
          <w:rFonts w:ascii="Times New Roman" w:eastAsia="Times New Roman" w:hAnsi="Times New Roman" w:cs="Times New Roman"/>
          <w:sz w:val="24"/>
          <w:szCs w:val="24"/>
        </w:rPr>
      </w:pPr>
      <w:r w:rsidRPr="00805042">
        <w:rPr>
          <w:rFonts w:ascii="Times New Roman" w:eastAsia="Times New Roman" w:hAnsi="Times New Roman" w:cs="Times New Roman"/>
          <w:sz w:val="24"/>
          <w:szCs w:val="24"/>
        </w:rPr>
        <w:t xml:space="preserve">Jika terdakwa dinyatakan bersalah setelah sidang selesai pemeriksaan, </w:t>
      </w:r>
      <w:proofErr w:type="gramStart"/>
      <w:r w:rsidRPr="00805042">
        <w:rPr>
          <w:rFonts w:ascii="Times New Roman" w:eastAsia="Times New Roman" w:hAnsi="Times New Roman" w:cs="Times New Roman"/>
          <w:sz w:val="24"/>
          <w:szCs w:val="24"/>
        </w:rPr>
        <w:t>ia</w:t>
      </w:r>
      <w:proofErr w:type="gramEnd"/>
      <w:r w:rsidRPr="00805042">
        <w:rPr>
          <w:rFonts w:ascii="Times New Roman" w:eastAsia="Times New Roman" w:hAnsi="Times New Roman" w:cs="Times New Roman"/>
          <w:sz w:val="24"/>
          <w:szCs w:val="24"/>
        </w:rPr>
        <w:t xml:space="preserve"> akan didakwa melakukan tindak pidana kejahatan. </w:t>
      </w:r>
      <w:proofErr w:type="gramStart"/>
      <w:r w:rsidRPr="00805042">
        <w:rPr>
          <w:rFonts w:ascii="Times New Roman" w:eastAsia="Times New Roman" w:hAnsi="Times New Roman" w:cs="Times New Roman"/>
          <w:sz w:val="24"/>
          <w:szCs w:val="24"/>
        </w:rPr>
        <w:t>Putusan hakim me</w:t>
      </w:r>
      <w:r w:rsidRPr="00805042">
        <w:rPr>
          <w:rFonts w:ascii="Times New Roman" w:eastAsia="Times New Roman" w:hAnsi="Times New Roman" w:cs="Times New Roman"/>
          <w:sz w:val="24"/>
          <w:szCs w:val="24"/>
        </w:rPr>
        <w:t>mpunyai kekuatan hukum final apabila terdakwa menyetujuinya.</w:t>
      </w:r>
      <w:proofErr w:type="gramEnd"/>
      <w:r w:rsidRPr="00805042">
        <w:rPr>
          <w:rFonts w:ascii="Times New Roman" w:eastAsia="Times New Roman" w:hAnsi="Times New Roman" w:cs="Times New Roman"/>
          <w:sz w:val="24"/>
          <w:szCs w:val="24"/>
        </w:rPr>
        <w:t xml:space="preserve"> Pelaku </w:t>
      </w:r>
      <w:proofErr w:type="gramStart"/>
      <w:r w:rsidRPr="00805042">
        <w:rPr>
          <w:rFonts w:ascii="Times New Roman" w:eastAsia="Times New Roman" w:hAnsi="Times New Roman" w:cs="Times New Roman"/>
          <w:sz w:val="24"/>
          <w:szCs w:val="24"/>
        </w:rPr>
        <w:t>akan</w:t>
      </w:r>
      <w:proofErr w:type="gramEnd"/>
      <w:r w:rsidRPr="00805042">
        <w:rPr>
          <w:rFonts w:ascii="Times New Roman" w:eastAsia="Times New Roman" w:hAnsi="Times New Roman" w:cs="Times New Roman"/>
          <w:sz w:val="24"/>
          <w:szCs w:val="24"/>
        </w:rPr>
        <w:t xml:space="preserve"> menerima salinan putusan melalui Jaksa Militer atau Oditurat Militer (OTMIL) yang mencantumkan lokasi dan lamanya hukuman.</w:t>
      </w:r>
    </w:p>
    <w:p w14:paraId="00000032" w14:textId="77777777" w:rsidR="003768E2" w:rsidRPr="00805042" w:rsidRDefault="008874A9" w:rsidP="00805042">
      <w:pPr>
        <w:numPr>
          <w:ilvl w:val="0"/>
          <w:numId w:val="5"/>
        </w:numPr>
        <w:pBdr>
          <w:top w:val="nil"/>
          <w:left w:val="nil"/>
          <w:bottom w:val="nil"/>
          <w:right w:val="nil"/>
          <w:between w:val="nil"/>
        </w:pBdr>
        <w:spacing w:after="0" w:line="240" w:lineRule="auto"/>
        <w:ind w:left="284" w:hanging="284"/>
        <w:jc w:val="both"/>
        <w:rPr>
          <w:rFonts w:ascii="Times New Roman" w:eastAsia="Times New Roman" w:hAnsi="Times New Roman" w:cs="Times New Roman"/>
          <w:b/>
          <w:color w:val="000000"/>
          <w:sz w:val="24"/>
          <w:szCs w:val="24"/>
        </w:rPr>
      </w:pPr>
      <w:r w:rsidRPr="00805042">
        <w:rPr>
          <w:rFonts w:ascii="Times New Roman" w:eastAsia="Times New Roman" w:hAnsi="Times New Roman" w:cs="Times New Roman"/>
          <w:b/>
          <w:color w:val="000000"/>
          <w:sz w:val="24"/>
          <w:szCs w:val="24"/>
        </w:rPr>
        <w:t>Tahap Eksekusi Putusan</w:t>
      </w:r>
    </w:p>
    <w:p w14:paraId="00000033" w14:textId="77777777" w:rsidR="003768E2" w:rsidRPr="00805042" w:rsidRDefault="008874A9" w:rsidP="006E7DEE">
      <w:pPr>
        <w:spacing w:after="0" w:line="240" w:lineRule="auto"/>
        <w:ind w:firstLine="567"/>
        <w:jc w:val="both"/>
        <w:rPr>
          <w:rFonts w:ascii="Times New Roman" w:eastAsia="Times New Roman" w:hAnsi="Times New Roman" w:cs="Times New Roman"/>
          <w:sz w:val="24"/>
          <w:szCs w:val="24"/>
        </w:rPr>
      </w:pPr>
      <w:r w:rsidRPr="00805042">
        <w:rPr>
          <w:rFonts w:ascii="Times New Roman" w:eastAsia="Times New Roman" w:hAnsi="Times New Roman" w:cs="Times New Roman"/>
          <w:sz w:val="24"/>
          <w:szCs w:val="24"/>
        </w:rPr>
        <w:t>Orang yang ditunjuk untuk mengangkutn</w:t>
      </w:r>
      <w:r w:rsidRPr="00805042">
        <w:rPr>
          <w:rFonts w:ascii="Times New Roman" w:eastAsia="Times New Roman" w:hAnsi="Times New Roman" w:cs="Times New Roman"/>
          <w:sz w:val="24"/>
          <w:szCs w:val="24"/>
        </w:rPr>
        <w:t xml:space="preserve">ya ke tempat </w:t>
      </w:r>
      <w:proofErr w:type="gramStart"/>
      <w:r w:rsidRPr="00805042">
        <w:rPr>
          <w:rFonts w:ascii="Times New Roman" w:eastAsia="Times New Roman" w:hAnsi="Times New Roman" w:cs="Times New Roman"/>
          <w:sz w:val="24"/>
          <w:szCs w:val="24"/>
        </w:rPr>
        <w:t>ia</w:t>
      </w:r>
      <w:proofErr w:type="gramEnd"/>
      <w:r w:rsidRPr="00805042">
        <w:rPr>
          <w:rFonts w:ascii="Times New Roman" w:eastAsia="Times New Roman" w:hAnsi="Times New Roman" w:cs="Times New Roman"/>
          <w:sz w:val="24"/>
          <w:szCs w:val="24"/>
        </w:rPr>
        <w:t xml:space="preserve"> menjalani pidana, baik di Lembaga Pemasyarakatan Militer maupun di Lembaga Pemasyarakatan Umum, merupakan petugas pelaksana pada tahap pelaksanaan putusan hakim. Tim tetap yang terdiri atas penyidik kepolisian, polisi militer dari Angkatan </w:t>
      </w:r>
      <w:r w:rsidRPr="00805042">
        <w:rPr>
          <w:rFonts w:ascii="Times New Roman" w:eastAsia="Times New Roman" w:hAnsi="Times New Roman" w:cs="Times New Roman"/>
          <w:sz w:val="24"/>
          <w:szCs w:val="24"/>
        </w:rPr>
        <w:t xml:space="preserve">Bersenjata Republik Indonesia, atau jaksa penuntut militer berpangkat tinggi sesuai dengan kewenangannya masing-masing menurut hukum yang berlaku dalam penyidikan perkara pidana, menyelenggarakan perkara pidana sebagaimana dimaksud dalam Pasal 89 ayat (1) </w:t>
      </w:r>
      <w:r w:rsidRPr="00805042">
        <w:rPr>
          <w:rFonts w:ascii="Times New Roman" w:eastAsia="Times New Roman" w:hAnsi="Times New Roman" w:cs="Times New Roman"/>
          <w:sz w:val="24"/>
          <w:szCs w:val="24"/>
        </w:rPr>
        <w:t>KUHAP.</w:t>
      </w:r>
    </w:p>
    <w:p w14:paraId="5975D6A6" w14:textId="77777777" w:rsidR="006E7DEE" w:rsidRDefault="006E7DEE" w:rsidP="00805042">
      <w:pPr>
        <w:spacing w:after="0" w:line="240" w:lineRule="auto"/>
        <w:jc w:val="both"/>
        <w:rPr>
          <w:rFonts w:ascii="Times New Roman" w:eastAsia="Times New Roman" w:hAnsi="Times New Roman" w:cs="Times New Roman"/>
          <w:b/>
          <w:sz w:val="24"/>
          <w:szCs w:val="24"/>
          <w:lang w:val="id-ID"/>
        </w:rPr>
      </w:pPr>
    </w:p>
    <w:p w14:paraId="00000034" w14:textId="77777777" w:rsidR="003768E2" w:rsidRPr="00805042" w:rsidRDefault="008874A9" w:rsidP="00805042">
      <w:pPr>
        <w:spacing w:after="0" w:line="240" w:lineRule="auto"/>
        <w:jc w:val="both"/>
        <w:rPr>
          <w:rFonts w:ascii="Times New Roman" w:eastAsia="Times New Roman" w:hAnsi="Times New Roman" w:cs="Times New Roman"/>
          <w:b/>
          <w:sz w:val="24"/>
          <w:szCs w:val="24"/>
        </w:rPr>
      </w:pPr>
      <w:r w:rsidRPr="00805042">
        <w:rPr>
          <w:rFonts w:ascii="Times New Roman" w:eastAsia="Times New Roman" w:hAnsi="Times New Roman" w:cs="Times New Roman"/>
          <w:b/>
          <w:sz w:val="24"/>
          <w:szCs w:val="24"/>
        </w:rPr>
        <w:t>Landasan Hukum Pelaksanaan Perkara Koneksitas Dalam Hukum Acara Pidana</w:t>
      </w:r>
    </w:p>
    <w:p w14:paraId="00000035" w14:textId="77777777" w:rsidR="003768E2" w:rsidRPr="00805042" w:rsidRDefault="008874A9" w:rsidP="006E7DEE">
      <w:pPr>
        <w:spacing w:after="0" w:line="240" w:lineRule="auto"/>
        <w:ind w:firstLine="567"/>
        <w:jc w:val="both"/>
        <w:rPr>
          <w:rFonts w:ascii="Times New Roman" w:eastAsia="Times New Roman" w:hAnsi="Times New Roman" w:cs="Times New Roman"/>
          <w:sz w:val="24"/>
          <w:szCs w:val="24"/>
        </w:rPr>
      </w:pPr>
      <w:r w:rsidRPr="00805042">
        <w:rPr>
          <w:rFonts w:ascii="Times New Roman" w:eastAsia="Times New Roman" w:hAnsi="Times New Roman" w:cs="Times New Roman"/>
          <w:sz w:val="24"/>
          <w:szCs w:val="24"/>
        </w:rPr>
        <w:t xml:space="preserve">Penuntut atau Jaksa Tinggi dan Jaksa Militer atau Jaksa Tinggi Militer tentunya </w:t>
      </w:r>
      <w:proofErr w:type="gramStart"/>
      <w:r w:rsidRPr="00805042">
        <w:rPr>
          <w:rFonts w:ascii="Times New Roman" w:eastAsia="Times New Roman" w:hAnsi="Times New Roman" w:cs="Times New Roman"/>
          <w:sz w:val="24"/>
          <w:szCs w:val="24"/>
        </w:rPr>
        <w:t>akan</w:t>
      </w:r>
      <w:proofErr w:type="gramEnd"/>
      <w:r w:rsidRPr="00805042">
        <w:rPr>
          <w:rFonts w:ascii="Times New Roman" w:eastAsia="Times New Roman" w:hAnsi="Times New Roman" w:cs="Times New Roman"/>
          <w:sz w:val="24"/>
          <w:szCs w:val="24"/>
        </w:rPr>
        <w:t xml:space="preserve"> melakukan penyidikan gabungan dalam hal ini untuk menentukan apakah pengadilan dalam lingkungan peradilan militer atau pengadilan dalam lingkungan peradilan umum akan meng</w:t>
      </w:r>
      <w:r w:rsidRPr="00805042">
        <w:rPr>
          <w:rFonts w:ascii="Times New Roman" w:eastAsia="Times New Roman" w:hAnsi="Times New Roman" w:cs="Times New Roman"/>
          <w:sz w:val="24"/>
          <w:szCs w:val="24"/>
        </w:rPr>
        <w:t xml:space="preserve">adili tindak pidana. </w:t>
      </w:r>
      <w:proofErr w:type="gramStart"/>
      <w:r w:rsidRPr="00805042">
        <w:rPr>
          <w:rFonts w:ascii="Times New Roman" w:eastAsia="Times New Roman" w:hAnsi="Times New Roman" w:cs="Times New Roman"/>
          <w:sz w:val="24"/>
          <w:szCs w:val="24"/>
        </w:rPr>
        <w:t>Laporan resmi yang telah ditandatangani oleh semua pihak berisi pendapat dari penelitian kolaboratif tersebut.</w:t>
      </w:r>
      <w:proofErr w:type="gramEnd"/>
      <w:r w:rsidRPr="00805042">
        <w:rPr>
          <w:rFonts w:ascii="Times New Roman" w:eastAsia="Times New Roman" w:hAnsi="Times New Roman" w:cs="Times New Roman"/>
          <w:sz w:val="24"/>
          <w:szCs w:val="24"/>
        </w:rPr>
        <w:t xml:space="preserve"> Apabila dalam penelitian bersama terdapat perbedaan pendapat mengenai pengadilan yang daerah hukumnya mengadili perkara itu,</w:t>
      </w:r>
      <w:r w:rsidRPr="00805042">
        <w:rPr>
          <w:rFonts w:ascii="Times New Roman" w:eastAsia="Times New Roman" w:hAnsi="Times New Roman" w:cs="Times New Roman"/>
          <w:sz w:val="24"/>
          <w:szCs w:val="24"/>
        </w:rPr>
        <w:t xml:space="preserve"> maka penuntut umum atau penuntut umum melaporkan hal itu kepada Jaksa Agung, dan penuntut militer atau penuntut umum militer tinggi melaporkan hal itu kepada Auditor Jenderal Angkatan Bersenjata. </w:t>
      </w:r>
      <w:proofErr w:type="gramStart"/>
      <w:r w:rsidRPr="00805042">
        <w:rPr>
          <w:rFonts w:ascii="Times New Roman" w:eastAsia="Times New Roman" w:hAnsi="Times New Roman" w:cs="Times New Roman"/>
          <w:sz w:val="24"/>
          <w:szCs w:val="24"/>
        </w:rPr>
        <w:t>Angkatan Darat Republik Indonesia.</w:t>
      </w:r>
      <w:proofErr w:type="gramEnd"/>
      <w:r w:rsidRPr="00805042">
        <w:rPr>
          <w:rFonts w:ascii="Times New Roman" w:eastAsia="Times New Roman" w:hAnsi="Times New Roman" w:cs="Times New Roman"/>
          <w:sz w:val="24"/>
          <w:szCs w:val="24"/>
          <w:vertAlign w:val="superscript"/>
        </w:rPr>
        <w:footnoteReference w:id="11"/>
      </w:r>
    </w:p>
    <w:p w14:paraId="00000036" w14:textId="77777777" w:rsidR="003768E2" w:rsidRPr="00805042" w:rsidRDefault="008874A9" w:rsidP="006E7DEE">
      <w:pPr>
        <w:spacing w:after="0" w:line="240" w:lineRule="auto"/>
        <w:ind w:firstLine="567"/>
        <w:jc w:val="both"/>
        <w:rPr>
          <w:rFonts w:ascii="Times New Roman" w:eastAsia="Times New Roman" w:hAnsi="Times New Roman" w:cs="Times New Roman"/>
          <w:sz w:val="24"/>
          <w:szCs w:val="24"/>
        </w:rPr>
      </w:pPr>
      <w:proofErr w:type="gramStart"/>
      <w:r w:rsidRPr="00805042">
        <w:rPr>
          <w:rFonts w:ascii="Times New Roman" w:eastAsia="Times New Roman" w:hAnsi="Times New Roman" w:cs="Times New Roman"/>
          <w:sz w:val="24"/>
          <w:szCs w:val="24"/>
        </w:rPr>
        <w:t>Penekanan pada kerugian</w:t>
      </w:r>
      <w:r w:rsidRPr="00805042">
        <w:rPr>
          <w:rFonts w:ascii="Times New Roman" w:eastAsia="Times New Roman" w:hAnsi="Times New Roman" w:cs="Times New Roman"/>
          <w:sz w:val="24"/>
          <w:szCs w:val="24"/>
        </w:rPr>
        <w:t xml:space="preserve"> yang ditimbulkan entah lebih merugikan kepentingan umum atau lebih merugikan kepentingan militer, tentu saja menjadi dasar kewenangan memutus perkara konektivitas, baik yang diadili di pengadilan militer maupun pengadilan umum.</w:t>
      </w:r>
      <w:proofErr w:type="gramEnd"/>
      <w:r w:rsidRPr="00805042">
        <w:rPr>
          <w:rFonts w:ascii="Times New Roman" w:eastAsia="Times New Roman" w:hAnsi="Times New Roman" w:cs="Times New Roman"/>
          <w:sz w:val="24"/>
          <w:szCs w:val="24"/>
        </w:rPr>
        <w:t xml:space="preserve"> Petugas Pemindahan Perkara </w:t>
      </w:r>
      <w:r w:rsidRPr="00805042">
        <w:rPr>
          <w:rFonts w:ascii="Times New Roman" w:eastAsia="Times New Roman" w:hAnsi="Times New Roman" w:cs="Times New Roman"/>
          <w:sz w:val="24"/>
          <w:szCs w:val="24"/>
        </w:rPr>
        <w:t xml:space="preserve">(PAPERA) segera membuat </w:t>
      </w:r>
      <w:proofErr w:type="gramStart"/>
      <w:r w:rsidRPr="00805042">
        <w:rPr>
          <w:rFonts w:ascii="Times New Roman" w:eastAsia="Times New Roman" w:hAnsi="Times New Roman" w:cs="Times New Roman"/>
          <w:sz w:val="24"/>
          <w:szCs w:val="24"/>
        </w:rPr>
        <w:t>surat</w:t>
      </w:r>
      <w:proofErr w:type="gramEnd"/>
      <w:r w:rsidRPr="00805042">
        <w:rPr>
          <w:rFonts w:ascii="Times New Roman" w:eastAsia="Times New Roman" w:hAnsi="Times New Roman" w:cs="Times New Roman"/>
          <w:sz w:val="24"/>
          <w:szCs w:val="24"/>
        </w:rPr>
        <w:t xml:space="preserve"> keputusan penyerahan perkara yang dilimpahkan melalui penuntut militer atau penuntut umum militer kepada penuntut umum. </w:t>
      </w:r>
      <w:proofErr w:type="gramStart"/>
      <w:r w:rsidRPr="00805042">
        <w:rPr>
          <w:rFonts w:ascii="Times New Roman" w:eastAsia="Times New Roman" w:hAnsi="Times New Roman" w:cs="Times New Roman"/>
          <w:sz w:val="24"/>
          <w:szCs w:val="24"/>
        </w:rPr>
        <w:t>Apabila menurut fokus utama kerugian yang ditimbulkan lebih merugikan kepentingan umum, maka perkara terse</w:t>
      </w:r>
      <w:r w:rsidRPr="00805042">
        <w:rPr>
          <w:rFonts w:ascii="Times New Roman" w:eastAsia="Times New Roman" w:hAnsi="Times New Roman" w:cs="Times New Roman"/>
          <w:sz w:val="24"/>
          <w:szCs w:val="24"/>
        </w:rPr>
        <w:t>but harus diadili oleh pengadilan dalam lingkungan peradilan umum.</w:t>
      </w:r>
      <w:proofErr w:type="gramEnd"/>
    </w:p>
    <w:p w14:paraId="00000037" w14:textId="77777777" w:rsidR="003768E2" w:rsidRPr="00805042" w:rsidRDefault="008874A9" w:rsidP="006E7DEE">
      <w:pPr>
        <w:spacing w:after="0" w:line="240" w:lineRule="auto"/>
        <w:ind w:firstLine="567"/>
        <w:jc w:val="both"/>
        <w:rPr>
          <w:rFonts w:ascii="Times New Roman" w:eastAsia="Times New Roman" w:hAnsi="Times New Roman" w:cs="Times New Roman"/>
          <w:sz w:val="24"/>
          <w:szCs w:val="24"/>
        </w:rPr>
      </w:pPr>
      <w:r w:rsidRPr="00805042">
        <w:rPr>
          <w:rFonts w:ascii="Times New Roman" w:eastAsia="Times New Roman" w:hAnsi="Times New Roman" w:cs="Times New Roman"/>
          <w:sz w:val="24"/>
          <w:szCs w:val="24"/>
        </w:rPr>
        <w:t>Temuan-temuan penelitian bersama tersebut juga akan dijadikan dasar bagi Auditor Jenderal Angkatan Bersenjata Republik Indonesia untuk mengusulkan kepada Menteri Pertahanan dan Keamanan aga</w:t>
      </w:r>
      <w:r w:rsidRPr="00805042">
        <w:rPr>
          <w:rFonts w:ascii="Times New Roman" w:eastAsia="Times New Roman" w:hAnsi="Times New Roman" w:cs="Times New Roman"/>
          <w:sz w:val="24"/>
          <w:szCs w:val="24"/>
        </w:rPr>
        <w:t xml:space="preserve">r dengan persetujuan Menteri Kehakiman dapat diambil keputusan yang dapat dipertahankan mengenai Hal ini terjadi apabila tim peneliti </w:t>
      </w:r>
      <w:r w:rsidRPr="00805042">
        <w:rPr>
          <w:rFonts w:ascii="Times New Roman" w:eastAsia="Times New Roman" w:hAnsi="Times New Roman" w:cs="Times New Roman"/>
          <w:sz w:val="24"/>
          <w:szCs w:val="24"/>
        </w:rPr>
        <w:lastRenderedPageBreak/>
        <w:t>berpendapat bahwa fokus kerugian akibat tindak pidana tersebut terletak pada kepentingan militer.</w:t>
      </w:r>
      <w:r w:rsidRPr="00805042">
        <w:rPr>
          <w:rFonts w:ascii="Times New Roman" w:eastAsia="Times New Roman" w:hAnsi="Times New Roman" w:cs="Times New Roman"/>
          <w:sz w:val="24"/>
          <w:szCs w:val="24"/>
          <w:vertAlign w:val="superscript"/>
        </w:rPr>
        <w:footnoteReference w:id="12"/>
      </w:r>
    </w:p>
    <w:p w14:paraId="00000038" w14:textId="77777777" w:rsidR="003768E2" w:rsidRPr="00805042" w:rsidRDefault="008874A9" w:rsidP="006E7DEE">
      <w:pPr>
        <w:spacing w:after="0" w:line="240" w:lineRule="auto"/>
        <w:ind w:firstLine="567"/>
        <w:jc w:val="both"/>
        <w:rPr>
          <w:rFonts w:ascii="Times New Roman" w:eastAsia="Times New Roman" w:hAnsi="Times New Roman" w:cs="Times New Roman"/>
          <w:sz w:val="24"/>
          <w:szCs w:val="24"/>
        </w:rPr>
      </w:pPr>
      <w:r w:rsidRPr="00805042">
        <w:rPr>
          <w:rFonts w:ascii="Times New Roman" w:eastAsia="Times New Roman" w:hAnsi="Times New Roman" w:cs="Times New Roman"/>
          <w:sz w:val="24"/>
          <w:szCs w:val="24"/>
        </w:rPr>
        <w:t>Persoalan berikutnya ad</w:t>
      </w:r>
      <w:r w:rsidRPr="00805042">
        <w:rPr>
          <w:rFonts w:ascii="Times New Roman" w:eastAsia="Times New Roman" w:hAnsi="Times New Roman" w:cs="Times New Roman"/>
          <w:sz w:val="24"/>
          <w:szCs w:val="24"/>
        </w:rPr>
        <w:t xml:space="preserve">alah bagaimana majelis hakim </w:t>
      </w:r>
      <w:proofErr w:type="gramStart"/>
      <w:r w:rsidRPr="00805042">
        <w:rPr>
          <w:rFonts w:ascii="Times New Roman" w:eastAsia="Times New Roman" w:hAnsi="Times New Roman" w:cs="Times New Roman"/>
          <w:sz w:val="24"/>
          <w:szCs w:val="24"/>
        </w:rPr>
        <w:t>akan</w:t>
      </w:r>
      <w:proofErr w:type="gramEnd"/>
      <w:r w:rsidRPr="00805042">
        <w:rPr>
          <w:rFonts w:ascii="Times New Roman" w:eastAsia="Times New Roman" w:hAnsi="Times New Roman" w:cs="Times New Roman"/>
          <w:sz w:val="24"/>
          <w:szCs w:val="24"/>
        </w:rPr>
        <w:t xml:space="preserve"> memutuskan apakah perkara tersebut akan dilimpahkan ke pengadilan militer atau pengadilan biasa. </w:t>
      </w:r>
      <w:proofErr w:type="gramStart"/>
      <w:r w:rsidRPr="00805042">
        <w:rPr>
          <w:rFonts w:ascii="Times New Roman" w:eastAsia="Times New Roman" w:hAnsi="Times New Roman" w:cs="Times New Roman"/>
          <w:sz w:val="24"/>
          <w:szCs w:val="24"/>
        </w:rPr>
        <w:t xml:space="preserve">Jika melihat ketentuan Pasal 94 KUHAP disebutkan bahwa majelis hakim yang terdiri dari sedikitnya tiga orang hakim mengadili </w:t>
      </w:r>
      <w:r w:rsidRPr="00805042">
        <w:rPr>
          <w:rFonts w:ascii="Times New Roman" w:eastAsia="Times New Roman" w:hAnsi="Times New Roman" w:cs="Times New Roman"/>
          <w:sz w:val="24"/>
          <w:szCs w:val="24"/>
        </w:rPr>
        <w:t>perkara dalam hal perkara pidana sebagaimana dimaksud dalam Pasal 89 ayat (1) disidangkan.</w:t>
      </w:r>
      <w:proofErr w:type="gramEnd"/>
      <w:r w:rsidRPr="00805042">
        <w:rPr>
          <w:rFonts w:ascii="Times New Roman" w:eastAsia="Times New Roman" w:hAnsi="Times New Roman" w:cs="Times New Roman"/>
          <w:sz w:val="24"/>
          <w:szCs w:val="24"/>
        </w:rPr>
        <w:t xml:space="preserve"> </w:t>
      </w:r>
      <w:proofErr w:type="gramStart"/>
      <w:r w:rsidRPr="00805042">
        <w:rPr>
          <w:rFonts w:ascii="Times New Roman" w:eastAsia="Times New Roman" w:hAnsi="Times New Roman" w:cs="Times New Roman"/>
          <w:sz w:val="24"/>
          <w:szCs w:val="24"/>
        </w:rPr>
        <w:t>oleh</w:t>
      </w:r>
      <w:proofErr w:type="gramEnd"/>
      <w:r w:rsidRPr="00805042">
        <w:rPr>
          <w:rFonts w:ascii="Times New Roman" w:eastAsia="Times New Roman" w:hAnsi="Times New Roman" w:cs="Times New Roman"/>
          <w:sz w:val="24"/>
          <w:szCs w:val="24"/>
        </w:rPr>
        <w:t xml:space="preserve"> pengadilan dalam lingkungan peradilan umum atau lingkungan peradilan militer.</w:t>
      </w:r>
      <w:r w:rsidRPr="00805042">
        <w:rPr>
          <w:rFonts w:ascii="Times New Roman" w:eastAsia="Times New Roman" w:hAnsi="Times New Roman" w:cs="Times New Roman"/>
          <w:sz w:val="24"/>
          <w:szCs w:val="24"/>
          <w:vertAlign w:val="superscript"/>
        </w:rPr>
        <w:footnoteReference w:id="13"/>
      </w:r>
    </w:p>
    <w:p w14:paraId="00000039" w14:textId="77777777" w:rsidR="003768E2" w:rsidRPr="00805042" w:rsidRDefault="008874A9" w:rsidP="006E7DEE">
      <w:pPr>
        <w:spacing w:after="0" w:line="240" w:lineRule="auto"/>
        <w:ind w:firstLine="567"/>
        <w:jc w:val="both"/>
        <w:rPr>
          <w:rFonts w:ascii="Times New Roman" w:eastAsia="Times New Roman" w:hAnsi="Times New Roman" w:cs="Times New Roman"/>
          <w:sz w:val="24"/>
          <w:szCs w:val="24"/>
        </w:rPr>
      </w:pPr>
      <w:r w:rsidRPr="00805042">
        <w:rPr>
          <w:rFonts w:ascii="Times New Roman" w:eastAsia="Times New Roman" w:hAnsi="Times New Roman" w:cs="Times New Roman"/>
          <w:sz w:val="24"/>
          <w:szCs w:val="24"/>
        </w:rPr>
        <w:t xml:space="preserve">Berdasarkan syarat-syarat Pasal 94 tersebut di atas, menjadi jelas bahwa apabila </w:t>
      </w:r>
      <w:r w:rsidRPr="00805042">
        <w:rPr>
          <w:rFonts w:ascii="Times New Roman" w:eastAsia="Times New Roman" w:hAnsi="Times New Roman" w:cs="Times New Roman"/>
          <w:sz w:val="24"/>
          <w:szCs w:val="24"/>
        </w:rPr>
        <w:t xml:space="preserve">perkara itu ditangani oleh peradilan umum, maka majelis hakim yang mengadili perkara itu antara lain adalah Ketua Majelis Hakim yang tentunya </w:t>
      </w:r>
      <w:proofErr w:type="gramStart"/>
      <w:r w:rsidRPr="00805042">
        <w:rPr>
          <w:rFonts w:ascii="Times New Roman" w:eastAsia="Times New Roman" w:hAnsi="Times New Roman" w:cs="Times New Roman"/>
          <w:sz w:val="24"/>
          <w:szCs w:val="24"/>
        </w:rPr>
        <w:t>akan</w:t>
      </w:r>
      <w:proofErr w:type="gramEnd"/>
      <w:r w:rsidRPr="00805042">
        <w:rPr>
          <w:rFonts w:ascii="Times New Roman" w:eastAsia="Times New Roman" w:hAnsi="Times New Roman" w:cs="Times New Roman"/>
          <w:sz w:val="24"/>
          <w:szCs w:val="24"/>
        </w:rPr>
        <w:t xml:space="preserve"> memimpin. </w:t>
      </w:r>
      <w:proofErr w:type="gramStart"/>
      <w:r w:rsidRPr="00805042">
        <w:rPr>
          <w:rFonts w:ascii="Times New Roman" w:eastAsia="Times New Roman" w:hAnsi="Times New Roman" w:cs="Times New Roman"/>
          <w:sz w:val="24"/>
          <w:szCs w:val="24"/>
        </w:rPr>
        <w:t>atas</w:t>
      </w:r>
      <w:proofErr w:type="gramEnd"/>
      <w:r w:rsidRPr="00805042">
        <w:rPr>
          <w:rFonts w:ascii="Times New Roman" w:eastAsia="Times New Roman" w:hAnsi="Times New Roman" w:cs="Times New Roman"/>
          <w:sz w:val="24"/>
          <w:szCs w:val="24"/>
        </w:rPr>
        <w:t xml:space="preserve"> panel sebagai hakim pengadilan umum. </w:t>
      </w:r>
      <w:proofErr w:type="gramStart"/>
      <w:r w:rsidRPr="00805042">
        <w:rPr>
          <w:rFonts w:ascii="Times New Roman" w:eastAsia="Times New Roman" w:hAnsi="Times New Roman" w:cs="Times New Roman"/>
          <w:sz w:val="24"/>
          <w:szCs w:val="24"/>
        </w:rPr>
        <w:t>Sebaliknya, majelis hakim mempunyai satu orang hakim dari</w:t>
      </w:r>
      <w:r w:rsidRPr="00805042">
        <w:rPr>
          <w:rFonts w:ascii="Times New Roman" w:eastAsia="Times New Roman" w:hAnsi="Times New Roman" w:cs="Times New Roman"/>
          <w:sz w:val="24"/>
          <w:szCs w:val="24"/>
        </w:rPr>
        <w:t xml:space="preserve"> pengadilan umum dan satu orang anggota dari militer.</w:t>
      </w:r>
      <w:proofErr w:type="gramEnd"/>
      <w:r w:rsidRPr="00805042">
        <w:rPr>
          <w:rFonts w:ascii="Times New Roman" w:eastAsia="Times New Roman" w:hAnsi="Times New Roman" w:cs="Times New Roman"/>
          <w:sz w:val="24"/>
          <w:szCs w:val="24"/>
        </w:rPr>
        <w:t xml:space="preserve"> Demikian pula, jika perkara tersebut disidangkan di pengadilan militer, maka majelis hakim yang duduk di pengadilan tersebut </w:t>
      </w:r>
      <w:proofErr w:type="gramStart"/>
      <w:r w:rsidRPr="00805042">
        <w:rPr>
          <w:rFonts w:ascii="Times New Roman" w:eastAsia="Times New Roman" w:hAnsi="Times New Roman" w:cs="Times New Roman"/>
          <w:sz w:val="24"/>
          <w:szCs w:val="24"/>
        </w:rPr>
        <w:t>akan</w:t>
      </w:r>
      <w:proofErr w:type="gramEnd"/>
      <w:r w:rsidRPr="00805042">
        <w:rPr>
          <w:rFonts w:ascii="Times New Roman" w:eastAsia="Times New Roman" w:hAnsi="Times New Roman" w:cs="Times New Roman"/>
          <w:sz w:val="24"/>
          <w:szCs w:val="24"/>
        </w:rPr>
        <w:t xml:space="preserve"> memimpin persidangan; salah satu hakim panel akan menjadi hakim pengadil</w:t>
      </w:r>
      <w:r w:rsidRPr="00805042">
        <w:rPr>
          <w:rFonts w:ascii="Times New Roman" w:eastAsia="Times New Roman" w:hAnsi="Times New Roman" w:cs="Times New Roman"/>
          <w:sz w:val="24"/>
          <w:szCs w:val="24"/>
        </w:rPr>
        <w:t xml:space="preserve">an umum, dan yang lainnya akan dipilih oleh hakim pengadilan militer. </w:t>
      </w:r>
      <w:proofErr w:type="gramStart"/>
      <w:r w:rsidRPr="00805042">
        <w:rPr>
          <w:rFonts w:ascii="Times New Roman" w:eastAsia="Times New Roman" w:hAnsi="Times New Roman" w:cs="Times New Roman"/>
          <w:sz w:val="24"/>
          <w:szCs w:val="24"/>
        </w:rPr>
        <w:t>Klausul ini juga berkaitan dengan peninjauan kembali perkara di tingkat banding.</w:t>
      </w:r>
      <w:proofErr w:type="gramEnd"/>
    </w:p>
    <w:p w14:paraId="0000003A" w14:textId="77777777" w:rsidR="003768E2" w:rsidRPr="00805042" w:rsidRDefault="008874A9" w:rsidP="006E7DEE">
      <w:pPr>
        <w:spacing w:after="0" w:line="240" w:lineRule="auto"/>
        <w:ind w:firstLine="567"/>
        <w:jc w:val="both"/>
        <w:rPr>
          <w:rFonts w:ascii="Times New Roman" w:eastAsia="Times New Roman" w:hAnsi="Times New Roman" w:cs="Times New Roman"/>
          <w:sz w:val="24"/>
          <w:szCs w:val="24"/>
        </w:rPr>
      </w:pPr>
      <w:r w:rsidRPr="00805042">
        <w:rPr>
          <w:rFonts w:ascii="Times New Roman" w:eastAsia="Times New Roman" w:hAnsi="Times New Roman" w:cs="Times New Roman"/>
          <w:sz w:val="24"/>
          <w:szCs w:val="24"/>
        </w:rPr>
        <w:t xml:space="preserve">Menurut Moch. Faisal Salam, SH.MH., seluruh perkara konektivitas pada umumnya diperiksa dan diadili oleh </w:t>
      </w:r>
      <w:r w:rsidRPr="00805042">
        <w:rPr>
          <w:rFonts w:ascii="Times New Roman" w:eastAsia="Times New Roman" w:hAnsi="Times New Roman" w:cs="Times New Roman"/>
          <w:sz w:val="24"/>
          <w:szCs w:val="24"/>
        </w:rPr>
        <w:t xml:space="preserve">pengadilan pada lingkungan peradilan umum, kecuali keputusan Menteri Pertahanan dan Keamanan yang dapat diperiksa dan diadili oleh pengadilan pada lingkungan peradilan militer. </w:t>
      </w:r>
      <w:proofErr w:type="gramStart"/>
      <w:r w:rsidRPr="00805042">
        <w:rPr>
          <w:rFonts w:ascii="Times New Roman" w:eastAsia="Times New Roman" w:hAnsi="Times New Roman" w:cs="Times New Roman"/>
          <w:sz w:val="24"/>
          <w:szCs w:val="24"/>
        </w:rPr>
        <w:t>lingkungan</w:t>
      </w:r>
      <w:proofErr w:type="gramEnd"/>
      <w:r w:rsidRPr="00805042">
        <w:rPr>
          <w:rFonts w:ascii="Times New Roman" w:eastAsia="Times New Roman" w:hAnsi="Times New Roman" w:cs="Times New Roman"/>
          <w:sz w:val="24"/>
          <w:szCs w:val="24"/>
        </w:rPr>
        <w:t xml:space="preserve"> hidup dengan persetujuan Menteri Kehakiman.</w:t>
      </w:r>
      <w:r w:rsidRPr="00805042">
        <w:rPr>
          <w:rFonts w:ascii="Times New Roman" w:eastAsia="Times New Roman" w:hAnsi="Times New Roman" w:cs="Times New Roman"/>
          <w:sz w:val="24"/>
          <w:szCs w:val="24"/>
          <w:vertAlign w:val="superscript"/>
        </w:rPr>
        <w:footnoteReference w:id="14"/>
      </w:r>
      <w:r w:rsidRPr="00805042">
        <w:rPr>
          <w:rFonts w:ascii="Times New Roman" w:eastAsia="Times New Roman" w:hAnsi="Times New Roman" w:cs="Times New Roman"/>
          <w:sz w:val="24"/>
          <w:szCs w:val="24"/>
        </w:rPr>
        <w:t xml:space="preserve"> </w:t>
      </w:r>
      <w:proofErr w:type="gramStart"/>
      <w:r w:rsidRPr="00805042">
        <w:rPr>
          <w:rFonts w:ascii="Times New Roman" w:eastAsia="Times New Roman" w:hAnsi="Times New Roman" w:cs="Times New Roman"/>
          <w:sz w:val="24"/>
          <w:szCs w:val="24"/>
        </w:rPr>
        <w:t>Namun kenyataannya, ser</w:t>
      </w:r>
      <w:r w:rsidRPr="00805042">
        <w:rPr>
          <w:rFonts w:ascii="Times New Roman" w:eastAsia="Times New Roman" w:hAnsi="Times New Roman" w:cs="Times New Roman"/>
          <w:sz w:val="24"/>
          <w:szCs w:val="24"/>
        </w:rPr>
        <w:t>ing ditemukan inkonsistensi.</w:t>
      </w:r>
      <w:proofErr w:type="gramEnd"/>
      <w:r w:rsidRPr="00805042">
        <w:rPr>
          <w:rFonts w:ascii="Times New Roman" w:eastAsia="Times New Roman" w:hAnsi="Times New Roman" w:cs="Times New Roman"/>
          <w:sz w:val="24"/>
          <w:szCs w:val="24"/>
        </w:rPr>
        <w:t xml:space="preserve"> </w:t>
      </w:r>
      <w:proofErr w:type="gramStart"/>
      <w:r w:rsidRPr="00805042">
        <w:rPr>
          <w:rFonts w:ascii="Times New Roman" w:eastAsia="Times New Roman" w:hAnsi="Times New Roman" w:cs="Times New Roman"/>
          <w:sz w:val="24"/>
          <w:szCs w:val="24"/>
        </w:rPr>
        <w:t>Misalnya saja, permasalahan terkait biasanya ditangani secara independen, yang berarti bahwa meskipun anggota militer dan angkatan bersenjata diperiksa dan diadili oleh Pengadilan Militer, warga negara pada umumnya diperiksa da</w:t>
      </w:r>
      <w:r w:rsidRPr="00805042">
        <w:rPr>
          <w:rFonts w:ascii="Times New Roman" w:eastAsia="Times New Roman" w:hAnsi="Times New Roman" w:cs="Times New Roman"/>
          <w:sz w:val="24"/>
          <w:szCs w:val="24"/>
        </w:rPr>
        <w:t>n diadili oleh Pengadilan Negeri Umum.</w:t>
      </w:r>
      <w:proofErr w:type="gramEnd"/>
    </w:p>
    <w:p w14:paraId="0000003B" w14:textId="77777777" w:rsidR="003768E2" w:rsidRPr="00805042" w:rsidRDefault="008874A9" w:rsidP="006E7DEE">
      <w:pPr>
        <w:spacing w:after="0" w:line="240" w:lineRule="auto"/>
        <w:ind w:firstLine="567"/>
        <w:jc w:val="both"/>
        <w:rPr>
          <w:rFonts w:ascii="Times New Roman" w:eastAsia="Times New Roman" w:hAnsi="Times New Roman" w:cs="Times New Roman"/>
          <w:sz w:val="24"/>
          <w:szCs w:val="24"/>
        </w:rPr>
      </w:pPr>
      <w:r w:rsidRPr="00805042">
        <w:rPr>
          <w:rFonts w:ascii="Times New Roman" w:eastAsia="Times New Roman" w:hAnsi="Times New Roman" w:cs="Times New Roman"/>
          <w:sz w:val="24"/>
          <w:szCs w:val="24"/>
        </w:rPr>
        <w:t>Hal ini jelas bertentangan dengan undang-undang karena sebagaimana dimaksud dalam pasal 89 ayat 1: “</w:t>
      </w:r>
      <w:r w:rsidRPr="00805042">
        <w:rPr>
          <w:rFonts w:ascii="Times New Roman" w:eastAsia="Times New Roman" w:hAnsi="Times New Roman" w:cs="Times New Roman"/>
          <w:i/>
          <w:sz w:val="24"/>
          <w:szCs w:val="24"/>
        </w:rPr>
        <w:t xml:space="preserve">Tindak pidana yang dilakukan secara bersama-sama oleh orang-orang yang tergabung dalam lingkungan peradilan umum dan </w:t>
      </w:r>
      <w:r w:rsidRPr="00805042">
        <w:rPr>
          <w:rFonts w:ascii="Times New Roman" w:eastAsia="Times New Roman" w:hAnsi="Times New Roman" w:cs="Times New Roman"/>
          <w:i/>
          <w:sz w:val="24"/>
          <w:szCs w:val="24"/>
        </w:rPr>
        <w:t>lingkungan peradilan militer, diperiksa dan diadili oleh pengadilan dalam lingkungan peradilan umum, kecuali menurut atas keputusan Menteri Pertahanan dan Keamanan dengan persetujuan Menteri Kehakiman, perkara itu harus diperiksa dan diadili oleh pengadila</w:t>
      </w:r>
      <w:r w:rsidRPr="00805042">
        <w:rPr>
          <w:rFonts w:ascii="Times New Roman" w:eastAsia="Times New Roman" w:hAnsi="Times New Roman" w:cs="Times New Roman"/>
          <w:i/>
          <w:sz w:val="24"/>
          <w:szCs w:val="24"/>
        </w:rPr>
        <w:t>n dengan persetujuan Menteri Kehakiman</w:t>
      </w:r>
      <w:r w:rsidRPr="00805042">
        <w:rPr>
          <w:rFonts w:ascii="Times New Roman" w:eastAsia="Times New Roman" w:hAnsi="Times New Roman" w:cs="Times New Roman"/>
          <w:sz w:val="24"/>
          <w:szCs w:val="24"/>
        </w:rPr>
        <w:t xml:space="preserve">”. </w:t>
      </w:r>
      <w:proofErr w:type="gramStart"/>
      <w:r w:rsidRPr="00805042">
        <w:rPr>
          <w:rFonts w:ascii="Times New Roman" w:eastAsia="Times New Roman" w:hAnsi="Times New Roman" w:cs="Times New Roman"/>
          <w:sz w:val="24"/>
          <w:szCs w:val="24"/>
        </w:rPr>
        <w:t>Dan penulis yakin bahwa prosedur panjang yang harus diikuti di bidang administrasi, personalia, dan keuangan yang mendukung penyelesaian kasus ini adalah penyebab penyimpangan ini.</w:t>
      </w:r>
      <w:proofErr w:type="gramEnd"/>
      <w:r w:rsidRPr="00805042">
        <w:rPr>
          <w:rFonts w:ascii="Times New Roman" w:eastAsia="Times New Roman" w:hAnsi="Times New Roman" w:cs="Times New Roman"/>
          <w:sz w:val="24"/>
          <w:szCs w:val="24"/>
        </w:rPr>
        <w:t xml:space="preserve"> </w:t>
      </w:r>
      <w:proofErr w:type="gramStart"/>
      <w:r w:rsidRPr="00805042">
        <w:rPr>
          <w:rFonts w:ascii="Times New Roman" w:eastAsia="Times New Roman" w:hAnsi="Times New Roman" w:cs="Times New Roman"/>
          <w:sz w:val="24"/>
          <w:szCs w:val="24"/>
        </w:rPr>
        <w:t>Hal ini jelas melanggar KUHAP yang menjunjung tinggi asas speedy trial.</w:t>
      </w:r>
      <w:proofErr w:type="gramEnd"/>
    </w:p>
    <w:p w14:paraId="0000003C" w14:textId="77777777" w:rsidR="003768E2" w:rsidRPr="00805042" w:rsidRDefault="003768E2" w:rsidP="00805042">
      <w:pPr>
        <w:spacing w:after="0" w:line="240" w:lineRule="auto"/>
        <w:jc w:val="both"/>
        <w:rPr>
          <w:rFonts w:ascii="Times New Roman" w:eastAsia="Times New Roman" w:hAnsi="Times New Roman" w:cs="Times New Roman"/>
          <w:b/>
          <w:sz w:val="24"/>
          <w:szCs w:val="24"/>
        </w:rPr>
      </w:pPr>
    </w:p>
    <w:p w14:paraId="0000003D" w14:textId="77777777" w:rsidR="003768E2" w:rsidRPr="00805042" w:rsidRDefault="008874A9" w:rsidP="00805042">
      <w:pPr>
        <w:spacing w:after="0" w:line="240" w:lineRule="auto"/>
        <w:jc w:val="both"/>
        <w:rPr>
          <w:rFonts w:ascii="Times New Roman" w:eastAsia="Times New Roman" w:hAnsi="Times New Roman" w:cs="Times New Roman"/>
          <w:b/>
          <w:sz w:val="24"/>
          <w:szCs w:val="24"/>
        </w:rPr>
      </w:pPr>
      <w:r w:rsidRPr="00805042">
        <w:rPr>
          <w:rFonts w:ascii="Times New Roman" w:eastAsia="Times New Roman" w:hAnsi="Times New Roman" w:cs="Times New Roman"/>
          <w:b/>
          <w:sz w:val="24"/>
          <w:szCs w:val="24"/>
        </w:rPr>
        <w:t>KESIMPULAN</w:t>
      </w:r>
    </w:p>
    <w:p w14:paraId="0000003E" w14:textId="77777777" w:rsidR="003768E2" w:rsidRPr="00805042" w:rsidRDefault="008874A9" w:rsidP="006E7DEE">
      <w:pPr>
        <w:spacing w:after="0" w:line="240" w:lineRule="auto"/>
        <w:ind w:firstLine="567"/>
        <w:jc w:val="both"/>
        <w:rPr>
          <w:rFonts w:ascii="Times New Roman" w:eastAsia="Times New Roman" w:hAnsi="Times New Roman" w:cs="Times New Roman"/>
          <w:sz w:val="24"/>
          <w:szCs w:val="24"/>
        </w:rPr>
      </w:pPr>
      <w:r w:rsidRPr="00805042">
        <w:rPr>
          <w:rFonts w:ascii="Times New Roman" w:eastAsia="Times New Roman" w:hAnsi="Times New Roman" w:cs="Times New Roman"/>
          <w:sz w:val="24"/>
          <w:szCs w:val="24"/>
        </w:rPr>
        <w:t xml:space="preserve">Berdasarkan atas uraian-uraian sebagaimana yang telah diuraikan di atas maka dapat ditarik kesimpulan sebagaimana </w:t>
      </w:r>
      <w:proofErr w:type="gramStart"/>
      <w:r w:rsidRPr="00805042">
        <w:rPr>
          <w:rFonts w:ascii="Times New Roman" w:eastAsia="Times New Roman" w:hAnsi="Times New Roman" w:cs="Times New Roman"/>
          <w:sz w:val="24"/>
          <w:szCs w:val="24"/>
        </w:rPr>
        <w:t>berikut :</w:t>
      </w:r>
      <w:proofErr w:type="gramEnd"/>
    </w:p>
    <w:p w14:paraId="0000003F" w14:textId="77777777" w:rsidR="003768E2" w:rsidRPr="00805042" w:rsidRDefault="008874A9" w:rsidP="006E7DEE">
      <w:pPr>
        <w:numPr>
          <w:ilvl w:val="0"/>
          <w:numId w:val="1"/>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4"/>
          <w:szCs w:val="24"/>
        </w:rPr>
      </w:pPr>
      <w:r w:rsidRPr="00805042">
        <w:rPr>
          <w:rFonts w:ascii="Times New Roman" w:eastAsia="Times New Roman" w:hAnsi="Times New Roman" w:cs="Times New Roman"/>
          <w:color w:val="000000"/>
          <w:sz w:val="24"/>
          <w:szCs w:val="24"/>
        </w:rPr>
        <w:t xml:space="preserve">Penyelesaian Kasus Koneksi di Pengadilan Militer. Prosedur penyelesaian di Pengadilan Militer hampir </w:t>
      </w:r>
      <w:proofErr w:type="gramStart"/>
      <w:r w:rsidRPr="00805042">
        <w:rPr>
          <w:rFonts w:ascii="Times New Roman" w:eastAsia="Times New Roman" w:hAnsi="Times New Roman" w:cs="Times New Roman"/>
          <w:color w:val="000000"/>
          <w:sz w:val="24"/>
          <w:szCs w:val="24"/>
        </w:rPr>
        <w:t>sama</w:t>
      </w:r>
      <w:proofErr w:type="gramEnd"/>
      <w:r w:rsidRPr="00805042">
        <w:rPr>
          <w:rFonts w:ascii="Times New Roman" w:eastAsia="Times New Roman" w:hAnsi="Times New Roman" w:cs="Times New Roman"/>
          <w:color w:val="000000"/>
          <w:sz w:val="24"/>
          <w:szCs w:val="24"/>
        </w:rPr>
        <w:t xml:space="preserve"> dengan prosedu</w:t>
      </w:r>
      <w:r w:rsidRPr="00805042">
        <w:rPr>
          <w:rFonts w:ascii="Times New Roman" w:eastAsia="Times New Roman" w:hAnsi="Times New Roman" w:cs="Times New Roman"/>
          <w:color w:val="000000"/>
          <w:sz w:val="24"/>
          <w:szCs w:val="24"/>
        </w:rPr>
        <w:t xml:space="preserve">r penyelesaian perkara perdata pada umumnya. Sedangkan prosesnya pada dasarnya terdiri dari empat langkah, yaitu: </w:t>
      </w:r>
    </w:p>
    <w:p w14:paraId="00000040" w14:textId="77777777" w:rsidR="003768E2" w:rsidRPr="00805042" w:rsidRDefault="008874A9" w:rsidP="006E7DEE">
      <w:pPr>
        <w:numPr>
          <w:ilvl w:val="0"/>
          <w:numId w:val="2"/>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4"/>
          <w:szCs w:val="24"/>
        </w:rPr>
      </w:pPr>
      <w:r w:rsidRPr="00805042">
        <w:rPr>
          <w:rFonts w:ascii="Times New Roman" w:eastAsia="Times New Roman" w:hAnsi="Times New Roman" w:cs="Times New Roman"/>
          <w:color w:val="000000"/>
          <w:sz w:val="24"/>
          <w:szCs w:val="24"/>
        </w:rPr>
        <w:t>Penyidikan;</w:t>
      </w:r>
    </w:p>
    <w:p w14:paraId="00000041" w14:textId="77777777" w:rsidR="003768E2" w:rsidRPr="00805042" w:rsidRDefault="008874A9" w:rsidP="006E7DEE">
      <w:pPr>
        <w:numPr>
          <w:ilvl w:val="0"/>
          <w:numId w:val="2"/>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4"/>
          <w:szCs w:val="24"/>
        </w:rPr>
      </w:pPr>
      <w:r w:rsidRPr="00805042">
        <w:rPr>
          <w:rFonts w:ascii="Times New Roman" w:eastAsia="Times New Roman" w:hAnsi="Times New Roman" w:cs="Times New Roman"/>
          <w:color w:val="000000"/>
          <w:sz w:val="24"/>
          <w:szCs w:val="24"/>
        </w:rPr>
        <w:t>Penuntutan;</w:t>
      </w:r>
    </w:p>
    <w:p w14:paraId="00000042" w14:textId="77777777" w:rsidR="003768E2" w:rsidRPr="00805042" w:rsidRDefault="008874A9" w:rsidP="006E7DEE">
      <w:pPr>
        <w:numPr>
          <w:ilvl w:val="0"/>
          <w:numId w:val="2"/>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4"/>
          <w:szCs w:val="24"/>
        </w:rPr>
      </w:pPr>
      <w:r w:rsidRPr="00805042">
        <w:rPr>
          <w:rFonts w:ascii="Times New Roman" w:eastAsia="Times New Roman" w:hAnsi="Times New Roman" w:cs="Times New Roman"/>
          <w:color w:val="000000"/>
          <w:sz w:val="24"/>
          <w:szCs w:val="24"/>
        </w:rPr>
        <w:t>Persidangan;</w:t>
      </w:r>
    </w:p>
    <w:p w14:paraId="00000043" w14:textId="77777777" w:rsidR="003768E2" w:rsidRPr="00805042" w:rsidRDefault="008874A9" w:rsidP="006E7DEE">
      <w:pPr>
        <w:numPr>
          <w:ilvl w:val="0"/>
          <w:numId w:val="2"/>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4"/>
          <w:szCs w:val="24"/>
        </w:rPr>
      </w:pPr>
      <w:r w:rsidRPr="00805042">
        <w:rPr>
          <w:rFonts w:ascii="Times New Roman" w:eastAsia="Times New Roman" w:hAnsi="Times New Roman" w:cs="Times New Roman"/>
          <w:color w:val="000000"/>
          <w:sz w:val="24"/>
          <w:szCs w:val="24"/>
        </w:rPr>
        <w:t>Proses eksekusi putusan hakim.</w:t>
      </w:r>
    </w:p>
    <w:p w14:paraId="00000044" w14:textId="77777777" w:rsidR="003768E2" w:rsidRPr="00805042" w:rsidRDefault="003768E2" w:rsidP="006E7DEE">
      <w:p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4"/>
          <w:szCs w:val="24"/>
        </w:rPr>
      </w:pPr>
    </w:p>
    <w:p w14:paraId="00000045" w14:textId="77777777" w:rsidR="003768E2" w:rsidRPr="00805042" w:rsidRDefault="008874A9" w:rsidP="006E7DEE">
      <w:pPr>
        <w:numPr>
          <w:ilvl w:val="0"/>
          <w:numId w:val="3"/>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4"/>
          <w:szCs w:val="24"/>
        </w:rPr>
      </w:pPr>
      <w:r w:rsidRPr="00805042">
        <w:rPr>
          <w:rFonts w:ascii="Times New Roman" w:eastAsia="Times New Roman" w:hAnsi="Times New Roman" w:cs="Times New Roman"/>
          <w:color w:val="000000"/>
          <w:sz w:val="24"/>
          <w:szCs w:val="24"/>
        </w:rPr>
        <w:lastRenderedPageBreak/>
        <w:t xml:space="preserve">Apakah pengadilan militer mempunyai </w:t>
      </w:r>
      <w:r w:rsidRPr="00805042">
        <w:rPr>
          <w:rFonts w:ascii="Times New Roman" w:eastAsia="Times New Roman" w:hAnsi="Times New Roman" w:cs="Times New Roman"/>
          <w:sz w:val="24"/>
          <w:szCs w:val="24"/>
        </w:rPr>
        <w:t>yurisdiksi</w:t>
      </w:r>
      <w:r w:rsidRPr="00805042">
        <w:rPr>
          <w:rFonts w:ascii="Times New Roman" w:eastAsia="Times New Roman" w:hAnsi="Times New Roman" w:cs="Times New Roman"/>
          <w:color w:val="000000"/>
          <w:sz w:val="24"/>
          <w:szCs w:val="24"/>
        </w:rPr>
        <w:t xml:space="preserve"> atas permasalahan ini </w:t>
      </w:r>
      <w:proofErr w:type="gramStart"/>
      <w:r w:rsidRPr="00805042">
        <w:rPr>
          <w:rFonts w:ascii="Times New Roman" w:eastAsia="Times New Roman" w:hAnsi="Times New Roman" w:cs="Times New Roman"/>
          <w:color w:val="000000"/>
          <w:sz w:val="24"/>
          <w:szCs w:val="24"/>
        </w:rPr>
        <w:t>akan</w:t>
      </w:r>
      <w:proofErr w:type="gramEnd"/>
      <w:r w:rsidRPr="00805042">
        <w:rPr>
          <w:rFonts w:ascii="Times New Roman" w:eastAsia="Times New Roman" w:hAnsi="Times New Roman" w:cs="Times New Roman"/>
          <w:color w:val="000000"/>
          <w:sz w:val="24"/>
          <w:szCs w:val="24"/>
        </w:rPr>
        <w:t xml:space="preserve"> menentukan cara peradilannya. Lihatlah kerugian yang dialami dan tentukan apakah kerugian tersebut lebih merugikan kepentingan militer atau masyarakat umum. Pejabat Pemindahan Perkara (PAPERA) segera membuat surat keputusan peny</w:t>
      </w:r>
      <w:r w:rsidRPr="00805042">
        <w:rPr>
          <w:rFonts w:ascii="Times New Roman" w:eastAsia="Times New Roman" w:hAnsi="Times New Roman" w:cs="Times New Roman"/>
          <w:color w:val="000000"/>
          <w:sz w:val="24"/>
          <w:szCs w:val="24"/>
        </w:rPr>
        <w:t xml:space="preserve">erahan perkara yang dilimpahkan melalui penuntut militer atau penuntut umum militer kepada penuntut umum, untuk dijadikan dasar pengajuan perkara ke pengadilan negeri yang bersangkutan, apabila dalam Menurut pendapat fokus utama, kerugian yang ditimbulkan </w:t>
      </w:r>
      <w:r w:rsidRPr="00805042">
        <w:rPr>
          <w:rFonts w:ascii="Times New Roman" w:eastAsia="Times New Roman" w:hAnsi="Times New Roman" w:cs="Times New Roman"/>
          <w:color w:val="000000"/>
          <w:sz w:val="24"/>
          <w:szCs w:val="24"/>
        </w:rPr>
        <w:t xml:space="preserve">lebih merugikan kepentingan umum. </w:t>
      </w:r>
      <w:proofErr w:type="gramStart"/>
      <w:r w:rsidRPr="00805042">
        <w:rPr>
          <w:rFonts w:ascii="Times New Roman" w:eastAsia="Times New Roman" w:hAnsi="Times New Roman" w:cs="Times New Roman"/>
          <w:color w:val="000000"/>
          <w:sz w:val="24"/>
          <w:szCs w:val="24"/>
        </w:rPr>
        <w:t>sebaliknya</w:t>
      </w:r>
      <w:proofErr w:type="gramEnd"/>
      <w:r w:rsidRPr="00805042">
        <w:rPr>
          <w:rFonts w:ascii="Times New Roman" w:eastAsia="Times New Roman" w:hAnsi="Times New Roman" w:cs="Times New Roman"/>
          <w:color w:val="000000"/>
          <w:sz w:val="24"/>
          <w:szCs w:val="24"/>
        </w:rPr>
        <w:t>.</w:t>
      </w:r>
    </w:p>
    <w:p w14:paraId="00000046" w14:textId="77777777" w:rsidR="003768E2" w:rsidRPr="00805042" w:rsidRDefault="003768E2" w:rsidP="00805042">
      <w:pPr>
        <w:spacing w:after="0" w:line="240" w:lineRule="auto"/>
        <w:jc w:val="both"/>
        <w:rPr>
          <w:rFonts w:ascii="Times New Roman" w:eastAsia="Times New Roman" w:hAnsi="Times New Roman" w:cs="Times New Roman"/>
          <w:sz w:val="24"/>
          <w:szCs w:val="24"/>
        </w:rPr>
      </w:pPr>
    </w:p>
    <w:p w14:paraId="00000047" w14:textId="3BF2EA90" w:rsidR="003768E2" w:rsidRPr="006E7DEE" w:rsidRDefault="006E7DEE" w:rsidP="00805042">
      <w:pPr>
        <w:spacing w:after="0" w:line="24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Referensi</w:t>
      </w:r>
    </w:p>
    <w:p w14:paraId="00000048" w14:textId="77777777" w:rsidR="003768E2" w:rsidRPr="00805042" w:rsidRDefault="008874A9" w:rsidP="006E7DEE">
      <w:pPr>
        <w:spacing w:after="0" w:line="240" w:lineRule="auto"/>
        <w:ind w:left="426" w:hanging="426"/>
        <w:jc w:val="both"/>
        <w:rPr>
          <w:rFonts w:ascii="Times New Roman" w:eastAsia="Times New Roman" w:hAnsi="Times New Roman" w:cs="Times New Roman"/>
          <w:sz w:val="24"/>
          <w:szCs w:val="24"/>
        </w:rPr>
      </w:pPr>
      <w:proofErr w:type="gramStart"/>
      <w:r w:rsidRPr="00805042">
        <w:rPr>
          <w:rFonts w:ascii="Times New Roman" w:eastAsia="Times New Roman" w:hAnsi="Times New Roman" w:cs="Times New Roman"/>
          <w:sz w:val="24"/>
          <w:szCs w:val="24"/>
        </w:rPr>
        <w:t xml:space="preserve">Abdullah, </w:t>
      </w:r>
      <w:r w:rsidRPr="00805042">
        <w:rPr>
          <w:rFonts w:ascii="Times New Roman" w:eastAsia="Times New Roman" w:hAnsi="Times New Roman" w:cs="Times New Roman"/>
          <w:i/>
          <w:sz w:val="24"/>
          <w:szCs w:val="24"/>
        </w:rPr>
        <w:t>Hukum Acara Pidana Militer di Indonesia</w:t>
      </w:r>
      <w:r w:rsidRPr="00805042">
        <w:rPr>
          <w:rFonts w:ascii="Times New Roman" w:eastAsia="Times New Roman" w:hAnsi="Times New Roman" w:cs="Times New Roman"/>
          <w:sz w:val="24"/>
          <w:szCs w:val="24"/>
        </w:rPr>
        <w:t>, cetakan kedua, Jakarta, Sinar Grafika, 2015.</w:t>
      </w:r>
      <w:proofErr w:type="gramEnd"/>
    </w:p>
    <w:p w14:paraId="00000049" w14:textId="77777777" w:rsidR="003768E2" w:rsidRPr="00805042" w:rsidRDefault="008874A9" w:rsidP="006E7DEE">
      <w:pPr>
        <w:spacing w:after="0" w:line="240" w:lineRule="auto"/>
        <w:ind w:left="426" w:hanging="426"/>
        <w:jc w:val="both"/>
        <w:rPr>
          <w:rFonts w:ascii="Times New Roman" w:eastAsia="Times New Roman" w:hAnsi="Times New Roman" w:cs="Times New Roman"/>
          <w:sz w:val="24"/>
          <w:szCs w:val="24"/>
        </w:rPr>
      </w:pPr>
      <w:r w:rsidRPr="00805042">
        <w:rPr>
          <w:rFonts w:ascii="Times New Roman" w:eastAsia="Times New Roman" w:hAnsi="Times New Roman" w:cs="Times New Roman"/>
          <w:sz w:val="24"/>
          <w:szCs w:val="24"/>
        </w:rPr>
        <w:t xml:space="preserve">Andi Hamzah, </w:t>
      </w:r>
      <w:r w:rsidRPr="00805042">
        <w:rPr>
          <w:rFonts w:ascii="Times New Roman" w:eastAsia="Times New Roman" w:hAnsi="Times New Roman" w:cs="Times New Roman"/>
          <w:i/>
          <w:sz w:val="24"/>
          <w:szCs w:val="24"/>
        </w:rPr>
        <w:t>Pengantar Hukum Acara Pidana</w:t>
      </w:r>
      <w:r w:rsidRPr="00805042">
        <w:rPr>
          <w:rFonts w:ascii="Times New Roman" w:eastAsia="Times New Roman" w:hAnsi="Times New Roman" w:cs="Times New Roman"/>
          <w:sz w:val="24"/>
          <w:szCs w:val="24"/>
        </w:rPr>
        <w:t>, Jakarta, Ghalia Indonesia, 2014.</w:t>
      </w:r>
    </w:p>
    <w:p w14:paraId="0000004A" w14:textId="77777777" w:rsidR="003768E2" w:rsidRPr="00805042" w:rsidRDefault="008874A9" w:rsidP="006E7DEE">
      <w:pPr>
        <w:spacing w:after="0" w:line="240" w:lineRule="auto"/>
        <w:ind w:left="426" w:hanging="426"/>
        <w:jc w:val="both"/>
        <w:rPr>
          <w:rFonts w:ascii="Times New Roman" w:eastAsia="Times New Roman" w:hAnsi="Times New Roman" w:cs="Times New Roman"/>
          <w:sz w:val="24"/>
          <w:szCs w:val="24"/>
        </w:rPr>
      </w:pPr>
      <w:r w:rsidRPr="00805042">
        <w:rPr>
          <w:rFonts w:ascii="Times New Roman" w:eastAsia="Times New Roman" w:hAnsi="Times New Roman" w:cs="Times New Roman"/>
          <w:sz w:val="24"/>
          <w:szCs w:val="24"/>
        </w:rPr>
        <w:t xml:space="preserve">Ashshofa, </w:t>
      </w:r>
      <w:r w:rsidRPr="00805042">
        <w:rPr>
          <w:rFonts w:ascii="Times New Roman" w:eastAsia="Times New Roman" w:hAnsi="Times New Roman" w:cs="Times New Roman"/>
          <w:i/>
          <w:sz w:val="24"/>
          <w:szCs w:val="24"/>
        </w:rPr>
        <w:t>Metode Penel</w:t>
      </w:r>
      <w:r w:rsidRPr="00805042">
        <w:rPr>
          <w:rFonts w:ascii="Times New Roman" w:eastAsia="Times New Roman" w:hAnsi="Times New Roman" w:cs="Times New Roman"/>
          <w:i/>
          <w:sz w:val="24"/>
          <w:szCs w:val="24"/>
        </w:rPr>
        <w:t>itian Hukum</w:t>
      </w:r>
      <w:r w:rsidRPr="00805042">
        <w:rPr>
          <w:rFonts w:ascii="Times New Roman" w:eastAsia="Times New Roman" w:hAnsi="Times New Roman" w:cs="Times New Roman"/>
          <w:sz w:val="24"/>
          <w:szCs w:val="24"/>
        </w:rPr>
        <w:t>, Jakarta, PT.Rineka Cipta, 1996.</w:t>
      </w:r>
    </w:p>
    <w:p w14:paraId="0000004B" w14:textId="77777777" w:rsidR="003768E2" w:rsidRPr="00805042" w:rsidRDefault="008874A9" w:rsidP="006E7DEE">
      <w:pPr>
        <w:spacing w:after="0" w:line="240" w:lineRule="auto"/>
        <w:ind w:left="426" w:hanging="426"/>
        <w:jc w:val="both"/>
        <w:rPr>
          <w:rFonts w:ascii="Times New Roman" w:eastAsia="Times New Roman" w:hAnsi="Times New Roman" w:cs="Times New Roman"/>
          <w:sz w:val="24"/>
          <w:szCs w:val="24"/>
        </w:rPr>
      </w:pPr>
      <w:r w:rsidRPr="00805042">
        <w:rPr>
          <w:rFonts w:ascii="Times New Roman" w:eastAsia="Times New Roman" w:hAnsi="Times New Roman" w:cs="Times New Roman"/>
          <w:sz w:val="24"/>
          <w:szCs w:val="24"/>
        </w:rPr>
        <w:t xml:space="preserve">Erdianto Effendi, </w:t>
      </w:r>
      <w:r w:rsidRPr="00805042">
        <w:rPr>
          <w:rFonts w:ascii="Times New Roman" w:eastAsia="Times New Roman" w:hAnsi="Times New Roman" w:cs="Times New Roman"/>
          <w:i/>
          <w:sz w:val="24"/>
          <w:szCs w:val="24"/>
        </w:rPr>
        <w:t>Pokok-Pokok Hukum Pidana</w:t>
      </w:r>
      <w:r w:rsidRPr="00805042">
        <w:rPr>
          <w:rFonts w:ascii="Times New Roman" w:eastAsia="Times New Roman" w:hAnsi="Times New Roman" w:cs="Times New Roman"/>
          <w:sz w:val="24"/>
          <w:szCs w:val="24"/>
        </w:rPr>
        <w:t>, Pekanbaru, Alaf Riau, 2010.</w:t>
      </w:r>
    </w:p>
    <w:p w14:paraId="0000004C" w14:textId="77777777" w:rsidR="003768E2" w:rsidRPr="00805042" w:rsidRDefault="008874A9" w:rsidP="006E7DEE">
      <w:pPr>
        <w:spacing w:after="0" w:line="240" w:lineRule="auto"/>
        <w:ind w:left="426" w:hanging="426"/>
        <w:jc w:val="both"/>
        <w:rPr>
          <w:rFonts w:ascii="Times New Roman" w:eastAsia="Times New Roman" w:hAnsi="Times New Roman" w:cs="Times New Roman"/>
          <w:sz w:val="24"/>
          <w:szCs w:val="24"/>
        </w:rPr>
      </w:pPr>
      <w:r w:rsidRPr="00805042">
        <w:rPr>
          <w:rFonts w:ascii="Times New Roman" w:eastAsia="Times New Roman" w:hAnsi="Times New Roman" w:cs="Times New Roman"/>
          <w:sz w:val="24"/>
          <w:szCs w:val="24"/>
        </w:rPr>
        <w:t xml:space="preserve">Martiman Prodjohamidjodjo, </w:t>
      </w:r>
      <w:r w:rsidRPr="00805042">
        <w:rPr>
          <w:rFonts w:ascii="Times New Roman" w:eastAsia="Times New Roman" w:hAnsi="Times New Roman" w:cs="Times New Roman"/>
          <w:i/>
          <w:sz w:val="24"/>
          <w:szCs w:val="24"/>
        </w:rPr>
        <w:t>Komentar Atas KUHAP</w:t>
      </w:r>
      <w:r w:rsidRPr="00805042">
        <w:rPr>
          <w:rFonts w:ascii="Times New Roman" w:eastAsia="Times New Roman" w:hAnsi="Times New Roman" w:cs="Times New Roman"/>
          <w:sz w:val="24"/>
          <w:szCs w:val="24"/>
        </w:rPr>
        <w:t>, Jakarta, Sinar Grafika, 2006.</w:t>
      </w:r>
    </w:p>
    <w:p w14:paraId="0000004D" w14:textId="77777777" w:rsidR="003768E2" w:rsidRPr="00805042" w:rsidRDefault="008874A9" w:rsidP="006E7DEE">
      <w:pPr>
        <w:spacing w:after="0" w:line="240" w:lineRule="auto"/>
        <w:ind w:left="426" w:hanging="426"/>
        <w:jc w:val="both"/>
        <w:rPr>
          <w:rFonts w:ascii="Times New Roman" w:eastAsia="Times New Roman" w:hAnsi="Times New Roman" w:cs="Times New Roman"/>
          <w:sz w:val="24"/>
          <w:szCs w:val="24"/>
        </w:rPr>
      </w:pPr>
      <w:r w:rsidRPr="00805042">
        <w:rPr>
          <w:rFonts w:ascii="Times New Roman" w:eastAsia="Times New Roman" w:hAnsi="Times New Roman" w:cs="Times New Roman"/>
          <w:sz w:val="24"/>
          <w:szCs w:val="24"/>
        </w:rPr>
        <w:t xml:space="preserve">Soerjono Soekanto, </w:t>
      </w:r>
      <w:r w:rsidRPr="00805042">
        <w:rPr>
          <w:rFonts w:ascii="Times New Roman" w:eastAsia="Times New Roman" w:hAnsi="Times New Roman" w:cs="Times New Roman"/>
          <w:i/>
          <w:sz w:val="24"/>
          <w:szCs w:val="24"/>
        </w:rPr>
        <w:t>Penelitian Hukum Normatif</w:t>
      </w:r>
      <w:r w:rsidRPr="00805042">
        <w:rPr>
          <w:rFonts w:ascii="Times New Roman" w:eastAsia="Times New Roman" w:hAnsi="Times New Roman" w:cs="Times New Roman"/>
          <w:sz w:val="24"/>
          <w:szCs w:val="24"/>
        </w:rPr>
        <w:t>, Jakarta, Raja Grafindo Persada, 2011.</w:t>
      </w:r>
    </w:p>
    <w:p w14:paraId="0000004E" w14:textId="77777777" w:rsidR="003768E2" w:rsidRPr="00805042" w:rsidRDefault="008874A9" w:rsidP="006E7DEE">
      <w:pPr>
        <w:spacing w:after="0" w:line="240" w:lineRule="auto"/>
        <w:ind w:left="426" w:hanging="426"/>
        <w:jc w:val="both"/>
        <w:rPr>
          <w:rFonts w:ascii="Times New Roman" w:eastAsia="Times New Roman" w:hAnsi="Times New Roman" w:cs="Times New Roman"/>
          <w:i/>
          <w:sz w:val="24"/>
          <w:szCs w:val="24"/>
        </w:rPr>
      </w:pPr>
      <w:r w:rsidRPr="00805042">
        <w:rPr>
          <w:rFonts w:ascii="Times New Roman" w:eastAsia="Times New Roman" w:hAnsi="Times New Roman" w:cs="Times New Roman"/>
          <w:sz w:val="24"/>
          <w:szCs w:val="24"/>
        </w:rPr>
        <w:t xml:space="preserve">SR Sianturi, </w:t>
      </w:r>
      <w:r w:rsidRPr="00805042">
        <w:rPr>
          <w:rFonts w:ascii="Times New Roman" w:eastAsia="Times New Roman" w:hAnsi="Times New Roman" w:cs="Times New Roman"/>
          <w:i/>
          <w:sz w:val="24"/>
          <w:szCs w:val="24"/>
        </w:rPr>
        <w:t>Hukum Pidana Militer di Indonesia</w:t>
      </w:r>
      <w:r w:rsidRPr="00805042">
        <w:rPr>
          <w:rFonts w:ascii="Times New Roman" w:eastAsia="Times New Roman" w:hAnsi="Times New Roman" w:cs="Times New Roman"/>
          <w:sz w:val="24"/>
          <w:szCs w:val="24"/>
        </w:rPr>
        <w:t>, cetakan ketiga, Bandung, Alumni, 2018.</w:t>
      </w:r>
    </w:p>
    <w:p w14:paraId="0000004F" w14:textId="77777777" w:rsidR="003768E2" w:rsidRPr="00805042" w:rsidRDefault="008874A9" w:rsidP="006E7DEE">
      <w:pPr>
        <w:spacing w:after="0" w:line="240" w:lineRule="auto"/>
        <w:ind w:left="426" w:hanging="426"/>
        <w:jc w:val="both"/>
        <w:rPr>
          <w:rFonts w:ascii="Times New Roman" w:eastAsia="Times New Roman" w:hAnsi="Times New Roman" w:cs="Times New Roman"/>
          <w:sz w:val="24"/>
          <w:szCs w:val="24"/>
        </w:rPr>
      </w:pPr>
      <w:proofErr w:type="gramStart"/>
      <w:r w:rsidRPr="00805042">
        <w:rPr>
          <w:rFonts w:ascii="Times New Roman" w:eastAsia="Times New Roman" w:hAnsi="Times New Roman" w:cs="Times New Roman"/>
          <w:sz w:val="24"/>
          <w:szCs w:val="24"/>
        </w:rPr>
        <w:t xml:space="preserve">Sumaryanti, </w:t>
      </w:r>
      <w:r w:rsidRPr="00805042">
        <w:rPr>
          <w:rFonts w:ascii="Times New Roman" w:eastAsia="Times New Roman" w:hAnsi="Times New Roman" w:cs="Times New Roman"/>
          <w:i/>
          <w:sz w:val="24"/>
          <w:szCs w:val="24"/>
        </w:rPr>
        <w:t>Peradilan Koneksitas di Indonesia</w:t>
      </w:r>
      <w:r w:rsidRPr="00805042">
        <w:rPr>
          <w:rFonts w:ascii="Times New Roman" w:eastAsia="Times New Roman" w:hAnsi="Times New Roman" w:cs="Times New Roman"/>
          <w:sz w:val="24"/>
          <w:szCs w:val="24"/>
        </w:rPr>
        <w:t>, Jakarta, Bina Aksara, 1994.</w:t>
      </w:r>
      <w:proofErr w:type="gramEnd"/>
    </w:p>
    <w:p w14:paraId="00000050" w14:textId="77777777" w:rsidR="003768E2" w:rsidRPr="00805042" w:rsidRDefault="008874A9" w:rsidP="006E7DEE">
      <w:pPr>
        <w:spacing w:after="0" w:line="240" w:lineRule="auto"/>
        <w:ind w:left="426" w:hanging="426"/>
        <w:jc w:val="both"/>
        <w:rPr>
          <w:rFonts w:ascii="Times New Roman" w:eastAsia="Times New Roman" w:hAnsi="Times New Roman" w:cs="Times New Roman"/>
          <w:sz w:val="24"/>
          <w:szCs w:val="24"/>
        </w:rPr>
      </w:pPr>
      <w:r w:rsidRPr="00805042">
        <w:rPr>
          <w:rFonts w:ascii="Times New Roman" w:eastAsia="Times New Roman" w:hAnsi="Times New Roman" w:cs="Times New Roman"/>
          <w:sz w:val="24"/>
          <w:szCs w:val="24"/>
        </w:rPr>
        <w:t xml:space="preserve">Zainuddin Ali, </w:t>
      </w:r>
      <w:r w:rsidRPr="00805042">
        <w:rPr>
          <w:rFonts w:ascii="Times New Roman" w:eastAsia="Times New Roman" w:hAnsi="Times New Roman" w:cs="Times New Roman"/>
          <w:i/>
          <w:sz w:val="24"/>
          <w:szCs w:val="24"/>
        </w:rPr>
        <w:t>Metode Penelitian Hukum</w:t>
      </w:r>
      <w:r w:rsidRPr="00805042">
        <w:rPr>
          <w:rFonts w:ascii="Times New Roman" w:eastAsia="Times New Roman" w:hAnsi="Times New Roman" w:cs="Times New Roman"/>
          <w:sz w:val="24"/>
          <w:szCs w:val="24"/>
        </w:rPr>
        <w:t>, Jakarta, Sinar Grafika, 2011.</w:t>
      </w:r>
    </w:p>
    <w:p w14:paraId="00000051" w14:textId="77777777" w:rsidR="003768E2" w:rsidRPr="00805042" w:rsidRDefault="003768E2" w:rsidP="00805042">
      <w:pPr>
        <w:spacing w:after="0" w:line="240" w:lineRule="auto"/>
        <w:jc w:val="both"/>
        <w:rPr>
          <w:rFonts w:ascii="Times New Roman" w:eastAsia="Times New Roman" w:hAnsi="Times New Roman" w:cs="Times New Roman"/>
          <w:sz w:val="24"/>
          <w:szCs w:val="24"/>
        </w:rPr>
      </w:pPr>
    </w:p>
    <w:sectPr w:rsidR="003768E2" w:rsidRPr="00805042" w:rsidSect="00805042">
      <w:headerReference w:type="default" r:id="rId12"/>
      <w:footerReference w:type="default" r:id="rId13"/>
      <w:pgSz w:w="11906" w:h="16838" w:code="9"/>
      <w:pgMar w:top="1103" w:right="1440" w:bottom="1440" w:left="1440" w:header="708" w:footer="708" w:gutter="0"/>
      <w:pgNumType w:start="40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37D22" w14:textId="77777777" w:rsidR="008874A9" w:rsidRDefault="008874A9">
      <w:pPr>
        <w:spacing w:after="0" w:line="240" w:lineRule="auto"/>
      </w:pPr>
      <w:r>
        <w:separator/>
      </w:r>
    </w:p>
  </w:endnote>
  <w:endnote w:type="continuationSeparator" w:id="0">
    <w:p w14:paraId="41BBBC19" w14:textId="77777777" w:rsidR="008874A9" w:rsidRDefault="00887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id w:val="68545488"/>
      <w:docPartObj>
        <w:docPartGallery w:val="Page Numbers (Bottom of Page)"/>
        <w:docPartUnique/>
      </w:docPartObj>
    </w:sdtPr>
    <w:sdtEndPr>
      <w:rPr>
        <w:color w:val="808080" w:themeColor="background1" w:themeShade="80"/>
        <w:spacing w:val="60"/>
      </w:rPr>
    </w:sdtEndPr>
    <w:sdtContent>
      <w:p w14:paraId="4B950A18" w14:textId="67FF1021" w:rsidR="00805042" w:rsidRPr="006E7DEE" w:rsidRDefault="00805042">
        <w:pPr>
          <w:pStyle w:val="Footer"/>
          <w:pBdr>
            <w:top w:val="single" w:sz="4" w:space="1" w:color="D9D9D9" w:themeColor="background1" w:themeShade="D9"/>
          </w:pBdr>
          <w:rPr>
            <w:rFonts w:ascii="Times New Roman" w:hAnsi="Times New Roman" w:cs="Times New Roman"/>
            <w:b/>
            <w:bCs/>
            <w:sz w:val="18"/>
            <w:szCs w:val="18"/>
          </w:rPr>
        </w:pPr>
        <w:r w:rsidRPr="006E7DEE">
          <w:rPr>
            <w:rFonts w:ascii="Times New Roman" w:hAnsi="Times New Roman" w:cs="Times New Roman"/>
            <w:sz w:val="18"/>
            <w:szCs w:val="18"/>
          </w:rPr>
          <w:fldChar w:fldCharType="begin"/>
        </w:r>
        <w:r w:rsidRPr="006E7DEE">
          <w:rPr>
            <w:rFonts w:ascii="Times New Roman" w:hAnsi="Times New Roman" w:cs="Times New Roman"/>
            <w:sz w:val="18"/>
            <w:szCs w:val="18"/>
          </w:rPr>
          <w:instrText xml:space="preserve"> PAGE   \* MERGEFORMAT </w:instrText>
        </w:r>
        <w:r w:rsidRPr="006E7DEE">
          <w:rPr>
            <w:rFonts w:ascii="Times New Roman" w:hAnsi="Times New Roman" w:cs="Times New Roman"/>
            <w:sz w:val="18"/>
            <w:szCs w:val="18"/>
          </w:rPr>
          <w:fldChar w:fldCharType="separate"/>
        </w:r>
        <w:r w:rsidR="006E7DEE" w:rsidRPr="006E7DEE">
          <w:rPr>
            <w:rFonts w:ascii="Times New Roman" w:hAnsi="Times New Roman" w:cs="Times New Roman"/>
            <w:b/>
            <w:bCs/>
            <w:noProof/>
            <w:sz w:val="18"/>
            <w:szCs w:val="18"/>
          </w:rPr>
          <w:t>408</w:t>
        </w:r>
        <w:r w:rsidRPr="006E7DEE">
          <w:rPr>
            <w:rFonts w:ascii="Times New Roman" w:hAnsi="Times New Roman" w:cs="Times New Roman"/>
            <w:b/>
            <w:bCs/>
            <w:noProof/>
            <w:sz w:val="18"/>
            <w:szCs w:val="18"/>
          </w:rPr>
          <w:fldChar w:fldCharType="end"/>
        </w:r>
        <w:r w:rsidRPr="006E7DEE">
          <w:rPr>
            <w:rFonts w:ascii="Times New Roman" w:hAnsi="Times New Roman" w:cs="Times New Roman"/>
            <w:b/>
            <w:bCs/>
            <w:sz w:val="18"/>
            <w:szCs w:val="18"/>
          </w:rPr>
          <w:t xml:space="preserve"> | </w:t>
        </w:r>
        <w:r w:rsidRPr="006E7DEE">
          <w:rPr>
            <w:rFonts w:ascii="Times New Roman" w:eastAsia="Times New Roman" w:hAnsi="Times New Roman" w:cs="Times New Roman"/>
            <w:i/>
            <w:color w:val="000000"/>
            <w:sz w:val="18"/>
            <w:szCs w:val="18"/>
          </w:rPr>
          <w:t>Vol. 1 No. 1</w:t>
        </w:r>
        <w:r w:rsidRPr="006E7DEE">
          <w:rPr>
            <w:rFonts w:ascii="Times New Roman" w:hAnsi="Times New Roman" w:cs="Times New Roman"/>
            <w:i/>
            <w:color w:val="000000"/>
            <w:sz w:val="18"/>
            <w:szCs w:val="18"/>
            <w:lang w:val="id-ID"/>
          </w:rPr>
          <w:t>0</w:t>
        </w:r>
        <w:r w:rsidRPr="006E7DEE">
          <w:rPr>
            <w:rFonts w:ascii="Times New Roman" w:hAnsi="Times New Roman" w:cs="Times New Roman"/>
            <w:i/>
            <w:color w:val="000000"/>
            <w:sz w:val="18"/>
            <w:szCs w:val="18"/>
          </w:rPr>
          <w:t xml:space="preserve"> </w:t>
        </w:r>
        <w:r w:rsidRPr="006E7DEE">
          <w:rPr>
            <w:rFonts w:ascii="Times New Roman" w:hAnsi="Times New Roman" w:cs="Times New Roman"/>
            <w:i/>
            <w:color w:val="000000"/>
            <w:sz w:val="18"/>
            <w:szCs w:val="18"/>
            <w:lang w:val="id-ID"/>
          </w:rPr>
          <w:tab/>
        </w:r>
        <w:r w:rsidRPr="006E7DEE">
          <w:rPr>
            <w:rFonts w:ascii="Times New Roman" w:hAnsi="Times New Roman" w:cs="Times New Roman"/>
            <w:i/>
            <w:color w:val="000000"/>
            <w:sz w:val="18"/>
            <w:szCs w:val="18"/>
            <w:lang w:val="id-ID"/>
          </w:rPr>
          <w:tab/>
        </w:r>
        <w:r w:rsidRPr="006E7DEE">
          <w:rPr>
            <w:rFonts w:ascii="Times New Roman" w:hAnsi="Times New Roman" w:cs="Times New Roman"/>
            <w:i/>
            <w:color w:val="000000"/>
            <w:sz w:val="18"/>
            <w:szCs w:val="18"/>
            <w:lang w:val="id-ID"/>
          </w:rPr>
          <w:t xml:space="preserve"> </w:t>
        </w:r>
        <w:r w:rsidR="006E7DEE" w:rsidRPr="006E7DEE">
          <w:rPr>
            <w:rFonts w:ascii="Times New Roman" w:hAnsi="Times New Roman" w:cs="Times New Roman"/>
            <w:i/>
            <w:sz w:val="18"/>
            <w:szCs w:val="18"/>
            <w:lang w:val="id-ID"/>
          </w:rPr>
          <w:t>Analisis Yuridis Pelaksanaan</w:t>
        </w:r>
        <w:r w:rsidRPr="006E7DEE">
          <w:rPr>
            <w:rFonts w:ascii="Times New Roman" w:eastAsia="Times New Roman" w:hAnsi="Times New Roman" w:cs="Times New Roman"/>
            <w:i/>
            <w:color w:val="000000"/>
            <w:sz w:val="18"/>
            <w:szCs w:val="18"/>
          </w:rPr>
          <w:t xml:space="preserve"> (</w:t>
        </w:r>
        <w:r w:rsidR="006E7DEE" w:rsidRPr="006E7DEE">
          <w:rPr>
            <w:rFonts w:ascii="Times New Roman" w:hAnsi="Times New Roman" w:cs="Times New Roman"/>
            <w:i/>
            <w:sz w:val="18"/>
            <w:szCs w:val="18"/>
            <w:lang w:val="id-ID"/>
          </w:rPr>
          <w:t>Div</w:t>
        </w:r>
        <w:r w:rsidRPr="006E7DEE">
          <w:rPr>
            <w:rFonts w:ascii="Times New Roman" w:hAnsi="Times New Roman" w:cs="Times New Roman"/>
            <w:i/>
            <w:sz w:val="18"/>
            <w:szCs w:val="18"/>
            <w:lang w:val="id-ID"/>
          </w:rPr>
          <w:t>a</w:t>
        </w:r>
        <w:r w:rsidR="006E7DEE" w:rsidRPr="006E7DEE">
          <w:rPr>
            <w:rFonts w:ascii="Times New Roman" w:hAnsi="Times New Roman" w:cs="Times New Roman"/>
            <w:i/>
            <w:sz w:val="18"/>
            <w:szCs w:val="18"/>
            <w:lang w:val="id-ID"/>
          </w:rPr>
          <w:t xml:space="preserve"> Pramesti Islami</w:t>
        </w:r>
        <w:r w:rsidRPr="006E7DEE">
          <w:rPr>
            <w:rFonts w:ascii="Times New Roman" w:hAnsi="Times New Roman" w:cs="Times New Roman"/>
            <w:i/>
            <w:sz w:val="18"/>
            <w:szCs w:val="18"/>
          </w:rPr>
          <w:t>,</w:t>
        </w:r>
        <w:r w:rsidRPr="006E7DEE">
          <w:rPr>
            <w:rFonts w:ascii="Times New Roman" w:eastAsia="Times New Roman" w:hAnsi="Times New Roman" w:cs="Times New Roman"/>
            <w:i/>
            <w:color w:val="000000"/>
            <w:sz w:val="18"/>
            <w:szCs w:val="18"/>
          </w:rPr>
          <w:t xml:space="preserve"> dkk.)</w:t>
        </w:r>
      </w:p>
    </w:sdtContent>
  </w:sdt>
  <w:p w14:paraId="53750A15" w14:textId="77777777" w:rsidR="00805042" w:rsidRPr="006E7DEE" w:rsidRDefault="00805042">
    <w:pPr>
      <w:pStyle w:val="Footer"/>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7E543" w14:textId="77777777" w:rsidR="008874A9" w:rsidRDefault="008874A9">
      <w:pPr>
        <w:spacing w:after="0" w:line="240" w:lineRule="auto"/>
      </w:pPr>
      <w:r>
        <w:separator/>
      </w:r>
    </w:p>
  </w:footnote>
  <w:footnote w:type="continuationSeparator" w:id="0">
    <w:p w14:paraId="4BF13B56" w14:textId="77777777" w:rsidR="008874A9" w:rsidRDefault="008874A9">
      <w:pPr>
        <w:spacing w:after="0" w:line="240" w:lineRule="auto"/>
      </w:pPr>
      <w:r>
        <w:continuationSeparator/>
      </w:r>
    </w:p>
  </w:footnote>
  <w:footnote w:id="1">
    <w:p w14:paraId="00000052" w14:textId="77777777" w:rsidR="003768E2" w:rsidRPr="006E7DEE" w:rsidRDefault="008874A9" w:rsidP="006E7DE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16"/>
          <w:szCs w:val="16"/>
        </w:rPr>
      </w:pPr>
      <w:r w:rsidRPr="006E7DEE">
        <w:rPr>
          <w:rFonts w:ascii="Times New Roman" w:hAnsi="Times New Roman" w:cs="Times New Roman"/>
          <w:sz w:val="16"/>
          <w:szCs w:val="16"/>
          <w:vertAlign w:val="superscript"/>
        </w:rPr>
        <w:footnoteRef/>
      </w:r>
      <w:r w:rsidRPr="006E7DEE">
        <w:rPr>
          <w:rFonts w:ascii="Times New Roman" w:eastAsia="Times New Roman" w:hAnsi="Times New Roman" w:cs="Times New Roman"/>
          <w:color w:val="000000"/>
          <w:sz w:val="16"/>
          <w:szCs w:val="16"/>
        </w:rPr>
        <w:t xml:space="preserve"> Erdianto Effendi, </w:t>
      </w:r>
      <w:r w:rsidRPr="006E7DEE">
        <w:rPr>
          <w:rFonts w:ascii="Times New Roman" w:eastAsia="Times New Roman" w:hAnsi="Times New Roman" w:cs="Times New Roman"/>
          <w:i/>
          <w:color w:val="000000"/>
          <w:sz w:val="16"/>
          <w:szCs w:val="16"/>
        </w:rPr>
        <w:t>Pokok-Pokok Hukum Pidana</w:t>
      </w:r>
      <w:r w:rsidRPr="006E7DEE">
        <w:rPr>
          <w:rFonts w:ascii="Times New Roman" w:eastAsia="Times New Roman" w:hAnsi="Times New Roman" w:cs="Times New Roman"/>
          <w:color w:val="000000"/>
          <w:sz w:val="16"/>
          <w:szCs w:val="16"/>
        </w:rPr>
        <w:t>, (Pekanbaru: Alaf Riau, 2010), hlm. 23.</w:t>
      </w:r>
    </w:p>
  </w:footnote>
  <w:footnote w:id="2">
    <w:p w14:paraId="00000053" w14:textId="77777777" w:rsidR="003768E2" w:rsidRPr="006E7DEE" w:rsidRDefault="008874A9" w:rsidP="006E7DE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16"/>
          <w:szCs w:val="16"/>
        </w:rPr>
      </w:pPr>
      <w:r w:rsidRPr="006E7DEE">
        <w:rPr>
          <w:rFonts w:ascii="Times New Roman" w:hAnsi="Times New Roman" w:cs="Times New Roman"/>
          <w:sz w:val="16"/>
          <w:szCs w:val="16"/>
          <w:vertAlign w:val="superscript"/>
        </w:rPr>
        <w:footnoteRef/>
      </w:r>
      <w:r w:rsidRPr="006E7DEE">
        <w:rPr>
          <w:rFonts w:ascii="Times New Roman" w:hAnsi="Times New Roman" w:cs="Times New Roman"/>
          <w:color w:val="000000"/>
          <w:sz w:val="16"/>
          <w:szCs w:val="16"/>
        </w:rPr>
        <w:t xml:space="preserve"> </w:t>
      </w:r>
      <w:r w:rsidRPr="006E7DEE">
        <w:rPr>
          <w:rFonts w:ascii="Times New Roman" w:eastAsia="Times New Roman" w:hAnsi="Times New Roman" w:cs="Times New Roman"/>
          <w:color w:val="000000"/>
          <w:sz w:val="16"/>
          <w:szCs w:val="16"/>
        </w:rPr>
        <w:t xml:space="preserve">Andi Hamzah, </w:t>
      </w:r>
      <w:r w:rsidRPr="006E7DEE">
        <w:rPr>
          <w:rFonts w:ascii="Times New Roman" w:eastAsia="Times New Roman" w:hAnsi="Times New Roman" w:cs="Times New Roman"/>
          <w:i/>
          <w:color w:val="000000"/>
          <w:sz w:val="16"/>
          <w:szCs w:val="16"/>
        </w:rPr>
        <w:t>Pengantar Hukum Acara Pidana</w:t>
      </w:r>
      <w:r w:rsidRPr="006E7DEE">
        <w:rPr>
          <w:rFonts w:ascii="Times New Roman" w:eastAsia="Times New Roman" w:hAnsi="Times New Roman" w:cs="Times New Roman"/>
          <w:color w:val="000000"/>
          <w:sz w:val="16"/>
          <w:szCs w:val="16"/>
        </w:rPr>
        <w:t>, (Jakarta: Ghalia Indonesia, 2014), hlm. 34.</w:t>
      </w:r>
    </w:p>
  </w:footnote>
  <w:footnote w:id="3">
    <w:p w14:paraId="00000054" w14:textId="77777777" w:rsidR="003768E2" w:rsidRPr="006E7DEE" w:rsidRDefault="008874A9" w:rsidP="006E7DE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16"/>
          <w:szCs w:val="16"/>
        </w:rPr>
      </w:pPr>
      <w:r w:rsidRPr="006E7DEE">
        <w:rPr>
          <w:rFonts w:ascii="Times New Roman" w:hAnsi="Times New Roman" w:cs="Times New Roman"/>
          <w:sz w:val="16"/>
          <w:szCs w:val="16"/>
          <w:vertAlign w:val="superscript"/>
        </w:rPr>
        <w:footnoteRef/>
      </w:r>
      <w:r w:rsidRPr="006E7DEE">
        <w:rPr>
          <w:rFonts w:ascii="Times New Roman" w:hAnsi="Times New Roman" w:cs="Times New Roman"/>
          <w:color w:val="000000"/>
          <w:sz w:val="16"/>
          <w:szCs w:val="16"/>
        </w:rPr>
        <w:t xml:space="preserve"> </w:t>
      </w:r>
      <w:proofErr w:type="gramStart"/>
      <w:r w:rsidRPr="006E7DEE">
        <w:rPr>
          <w:rFonts w:ascii="Times New Roman" w:eastAsia="Times New Roman" w:hAnsi="Times New Roman" w:cs="Times New Roman"/>
          <w:i/>
          <w:color w:val="000000"/>
          <w:sz w:val="16"/>
          <w:szCs w:val="16"/>
        </w:rPr>
        <w:t>Ibid</w:t>
      </w:r>
      <w:r w:rsidRPr="006E7DEE">
        <w:rPr>
          <w:rFonts w:ascii="Times New Roman" w:eastAsia="Times New Roman" w:hAnsi="Times New Roman" w:cs="Times New Roman"/>
          <w:color w:val="000000"/>
          <w:sz w:val="16"/>
          <w:szCs w:val="16"/>
        </w:rPr>
        <w:t>.,</w:t>
      </w:r>
      <w:proofErr w:type="gramEnd"/>
      <w:r w:rsidRPr="006E7DEE">
        <w:rPr>
          <w:rFonts w:ascii="Times New Roman" w:eastAsia="Times New Roman" w:hAnsi="Times New Roman" w:cs="Times New Roman"/>
          <w:color w:val="000000"/>
          <w:sz w:val="16"/>
          <w:szCs w:val="16"/>
        </w:rPr>
        <w:t xml:space="preserve"> hlm. 36.</w:t>
      </w:r>
    </w:p>
  </w:footnote>
  <w:footnote w:id="4">
    <w:p w14:paraId="00000055" w14:textId="77777777" w:rsidR="003768E2" w:rsidRPr="006E7DEE" w:rsidRDefault="008874A9" w:rsidP="006E7DE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16"/>
          <w:szCs w:val="16"/>
        </w:rPr>
      </w:pPr>
      <w:r w:rsidRPr="006E7DEE">
        <w:rPr>
          <w:rFonts w:ascii="Times New Roman" w:hAnsi="Times New Roman" w:cs="Times New Roman"/>
          <w:sz w:val="16"/>
          <w:szCs w:val="16"/>
          <w:vertAlign w:val="superscript"/>
        </w:rPr>
        <w:footnoteRef/>
      </w:r>
      <w:r w:rsidRPr="006E7DEE">
        <w:rPr>
          <w:rFonts w:ascii="Times New Roman" w:eastAsia="Times New Roman" w:hAnsi="Times New Roman" w:cs="Times New Roman"/>
          <w:color w:val="000000"/>
          <w:sz w:val="16"/>
          <w:szCs w:val="16"/>
        </w:rPr>
        <w:t xml:space="preserve"> Soerjono Soekanto, </w:t>
      </w:r>
      <w:r w:rsidRPr="006E7DEE">
        <w:rPr>
          <w:rFonts w:ascii="Times New Roman" w:eastAsia="Times New Roman" w:hAnsi="Times New Roman" w:cs="Times New Roman"/>
          <w:i/>
          <w:color w:val="000000"/>
          <w:sz w:val="16"/>
          <w:szCs w:val="16"/>
        </w:rPr>
        <w:t>Penelitian Hukum Normatif</w:t>
      </w:r>
      <w:r w:rsidRPr="006E7DEE">
        <w:rPr>
          <w:rFonts w:ascii="Times New Roman" w:eastAsia="Times New Roman" w:hAnsi="Times New Roman" w:cs="Times New Roman"/>
          <w:color w:val="000000"/>
          <w:sz w:val="16"/>
          <w:szCs w:val="16"/>
        </w:rPr>
        <w:t>, (Jakarta: Raja Grafindo Persada, 2011), hlm. 62.</w:t>
      </w:r>
    </w:p>
  </w:footnote>
  <w:footnote w:id="5">
    <w:p w14:paraId="00000056" w14:textId="77777777" w:rsidR="003768E2" w:rsidRPr="006E7DEE" w:rsidRDefault="008874A9" w:rsidP="006E7DEE">
      <w:pPr>
        <w:pBdr>
          <w:top w:val="nil"/>
          <w:left w:val="nil"/>
          <w:bottom w:val="nil"/>
          <w:right w:val="nil"/>
          <w:between w:val="nil"/>
        </w:pBdr>
        <w:spacing w:after="0" w:line="240" w:lineRule="auto"/>
        <w:ind w:firstLine="284"/>
        <w:jc w:val="both"/>
        <w:rPr>
          <w:rFonts w:ascii="Times New Roman" w:hAnsi="Times New Roman" w:cs="Times New Roman"/>
          <w:color w:val="000000"/>
          <w:sz w:val="16"/>
          <w:szCs w:val="16"/>
        </w:rPr>
      </w:pPr>
      <w:r w:rsidRPr="006E7DEE">
        <w:rPr>
          <w:rFonts w:ascii="Times New Roman" w:hAnsi="Times New Roman" w:cs="Times New Roman"/>
          <w:sz w:val="16"/>
          <w:szCs w:val="16"/>
          <w:vertAlign w:val="superscript"/>
        </w:rPr>
        <w:footnoteRef/>
      </w:r>
      <w:r w:rsidRPr="006E7DEE">
        <w:rPr>
          <w:rFonts w:ascii="Times New Roman" w:eastAsia="Times New Roman" w:hAnsi="Times New Roman" w:cs="Times New Roman"/>
          <w:color w:val="000000"/>
          <w:sz w:val="16"/>
          <w:szCs w:val="16"/>
        </w:rPr>
        <w:t xml:space="preserve"> </w:t>
      </w:r>
      <w:proofErr w:type="gramStart"/>
      <w:r w:rsidRPr="006E7DEE">
        <w:rPr>
          <w:rFonts w:ascii="Times New Roman" w:eastAsia="Times New Roman" w:hAnsi="Times New Roman" w:cs="Times New Roman"/>
          <w:i/>
          <w:color w:val="000000"/>
          <w:sz w:val="16"/>
          <w:szCs w:val="16"/>
        </w:rPr>
        <w:t>Ibid</w:t>
      </w:r>
      <w:r w:rsidRPr="006E7DEE">
        <w:rPr>
          <w:rFonts w:ascii="Times New Roman" w:eastAsia="Times New Roman" w:hAnsi="Times New Roman" w:cs="Times New Roman"/>
          <w:color w:val="000000"/>
          <w:sz w:val="16"/>
          <w:szCs w:val="16"/>
        </w:rPr>
        <w:t>.,</w:t>
      </w:r>
      <w:proofErr w:type="gramEnd"/>
      <w:r w:rsidRPr="006E7DEE">
        <w:rPr>
          <w:rFonts w:ascii="Times New Roman" w:eastAsia="Times New Roman" w:hAnsi="Times New Roman" w:cs="Times New Roman"/>
          <w:color w:val="000000"/>
          <w:sz w:val="16"/>
          <w:szCs w:val="16"/>
        </w:rPr>
        <w:t xml:space="preserve"> hlm. 63.</w:t>
      </w:r>
    </w:p>
  </w:footnote>
  <w:footnote w:id="6">
    <w:p w14:paraId="00000057" w14:textId="77777777" w:rsidR="003768E2" w:rsidRPr="006E7DEE" w:rsidRDefault="008874A9" w:rsidP="006E7DE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16"/>
          <w:szCs w:val="16"/>
        </w:rPr>
      </w:pPr>
      <w:r w:rsidRPr="006E7DEE">
        <w:rPr>
          <w:rFonts w:ascii="Times New Roman" w:hAnsi="Times New Roman" w:cs="Times New Roman"/>
          <w:sz w:val="16"/>
          <w:szCs w:val="16"/>
          <w:vertAlign w:val="superscript"/>
        </w:rPr>
        <w:footnoteRef/>
      </w:r>
      <w:r w:rsidRPr="006E7DEE">
        <w:rPr>
          <w:rFonts w:ascii="Times New Roman" w:eastAsia="Times New Roman" w:hAnsi="Times New Roman" w:cs="Times New Roman"/>
          <w:color w:val="000000"/>
          <w:sz w:val="16"/>
          <w:szCs w:val="16"/>
        </w:rPr>
        <w:t xml:space="preserve"> Ashshofa, </w:t>
      </w:r>
      <w:r w:rsidRPr="006E7DEE">
        <w:rPr>
          <w:rFonts w:ascii="Times New Roman" w:eastAsia="Times New Roman" w:hAnsi="Times New Roman" w:cs="Times New Roman"/>
          <w:i/>
          <w:color w:val="000000"/>
          <w:sz w:val="16"/>
          <w:szCs w:val="16"/>
        </w:rPr>
        <w:t>Metode Penelitian Hukum</w:t>
      </w:r>
      <w:r w:rsidRPr="006E7DEE">
        <w:rPr>
          <w:rFonts w:ascii="Times New Roman" w:eastAsia="Times New Roman" w:hAnsi="Times New Roman" w:cs="Times New Roman"/>
          <w:color w:val="000000"/>
          <w:sz w:val="16"/>
          <w:szCs w:val="16"/>
        </w:rPr>
        <w:t>, (Jakarta: PT.Rineka Cipta, 1996), hlm. 103.</w:t>
      </w:r>
    </w:p>
  </w:footnote>
  <w:footnote w:id="7">
    <w:p w14:paraId="00000058" w14:textId="77777777" w:rsidR="003768E2" w:rsidRPr="006E7DEE" w:rsidRDefault="008874A9" w:rsidP="006E7DE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16"/>
          <w:szCs w:val="16"/>
        </w:rPr>
      </w:pPr>
      <w:r w:rsidRPr="006E7DEE">
        <w:rPr>
          <w:rFonts w:ascii="Times New Roman" w:hAnsi="Times New Roman" w:cs="Times New Roman"/>
          <w:sz w:val="16"/>
          <w:szCs w:val="16"/>
          <w:vertAlign w:val="superscript"/>
        </w:rPr>
        <w:footnoteRef/>
      </w:r>
      <w:r w:rsidRPr="006E7DEE">
        <w:rPr>
          <w:rFonts w:ascii="Times New Roman" w:eastAsia="Times New Roman" w:hAnsi="Times New Roman" w:cs="Times New Roman"/>
          <w:color w:val="000000"/>
          <w:sz w:val="16"/>
          <w:szCs w:val="16"/>
        </w:rPr>
        <w:t xml:space="preserve"> Zainuddin Ali, </w:t>
      </w:r>
      <w:r w:rsidRPr="006E7DEE">
        <w:rPr>
          <w:rFonts w:ascii="Times New Roman" w:eastAsia="Times New Roman" w:hAnsi="Times New Roman" w:cs="Times New Roman"/>
          <w:i/>
          <w:color w:val="000000"/>
          <w:sz w:val="16"/>
          <w:szCs w:val="16"/>
        </w:rPr>
        <w:t>Metode Penelitian Hukum</w:t>
      </w:r>
      <w:r w:rsidRPr="006E7DEE">
        <w:rPr>
          <w:rFonts w:ascii="Times New Roman" w:eastAsia="Times New Roman" w:hAnsi="Times New Roman" w:cs="Times New Roman"/>
          <w:color w:val="000000"/>
          <w:sz w:val="16"/>
          <w:szCs w:val="16"/>
        </w:rPr>
        <w:t>, (Jakarta: Sinar Grafika, 2011), hlm. 54</w:t>
      </w:r>
    </w:p>
  </w:footnote>
  <w:footnote w:id="8">
    <w:p w14:paraId="00000059" w14:textId="77777777" w:rsidR="003768E2" w:rsidRPr="006E7DEE" w:rsidRDefault="008874A9" w:rsidP="006E7DE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16"/>
          <w:szCs w:val="16"/>
        </w:rPr>
      </w:pPr>
      <w:r w:rsidRPr="006E7DEE">
        <w:rPr>
          <w:rFonts w:ascii="Times New Roman" w:hAnsi="Times New Roman" w:cs="Times New Roman"/>
          <w:sz w:val="16"/>
          <w:szCs w:val="16"/>
          <w:vertAlign w:val="superscript"/>
        </w:rPr>
        <w:footnoteRef/>
      </w:r>
      <w:r w:rsidRPr="006E7DEE">
        <w:rPr>
          <w:rFonts w:ascii="Times New Roman" w:eastAsia="Times New Roman" w:hAnsi="Times New Roman" w:cs="Times New Roman"/>
          <w:color w:val="000000"/>
          <w:sz w:val="16"/>
          <w:szCs w:val="16"/>
        </w:rPr>
        <w:t xml:space="preserve"> Abdullah, </w:t>
      </w:r>
      <w:r w:rsidRPr="006E7DEE">
        <w:rPr>
          <w:rFonts w:ascii="Times New Roman" w:eastAsia="Times New Roman" w:hAnsi="Times New Roman" w:cs="Times New Roman"/>
          <w:i/>
          <w:color w:val="000000"/>
          <w:sz w:val="16"/>
          <w:szCs w:val="16"/>
        </w:rPr>
        <w:t>Hukum Acara Pidana Militer di Indonesia</w:t>
      </w:r>
      <w:r w:rsidRPr="006E7DEE">
        <w:rPr>
          <w:rFonts w:ascii="Times New Roman" w:eastAsia="Times New Roman" w:hAnsi="Times New Roman" w:cs="Times New Roman"/>
          <w:color w:val="000000"/>
          <w:sz w:val="16"/>
          <w:szCs w:val="16"/>
        </w:rPr>
        <w:t>, cetakan kedua, (Jakarta: Sinar Grafika, 2015), hlm. 44.</w:t>
      </w:r>
    </w:p>
  </w:footnote>
  <w:footnote w:id="9">
    <w:p w14:paraId="0000005A" w14:textId="77777777" w:rsidR="003768E2" w:rsidRPr="006E7DEE" w:rsidRDefault="008874A9" w:rsidP="006E7DE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16"/>
          <w:szCs w:val="16"/>
        </w:rPr>
      </w:pPr>
      <w:r w:rsidRPr="006E7DEE">
        <w:rPr>
          <w:rFonts w:ascii="Times New Roman" w:hAnsi="Times New Roman" w:cs="Times New Roman"/>
          <w:sz w:val="16"/>
          <w:szCs w:val="16"/>
          <w:vertAlign w:val="superscript"/>
        </w:rPr>
        <w:footnoteRef/>
      </w:r>
      <w:r w:rsidRPr="006E7DEE">
        <w:rPr>
          <w:rFonts w:ascii="Times New Roman" w:eastAsia="Times New Roman" w:hAnsi="Times New Roman" w:cs="Times New Roman"/>
          <w:color w:val="000000"/>
          <w:sz w:val="16"/>
          <w:szCs w:val="16"/>
        </w:rPr>
        <w:t xml:space="preserve"> Sumaryanti, </w:t>
      </w:r>
      <w:r w:rsidRPr="006E7DEE">
        <w:rPr>
          <w:rFonts w:ascii="Times New Roman" w:eastAsia="Times New Roman" w:hAnsi="Times New Roman" w:cs="Times New Roman"/>
          <w:i/>
          <w:color w:val="000000"/>
          <w:sz w:val="16"/>
          <w:szCs w:val="16"/>
        </w:rPr>
        <w:t>Peradilan Koneksitas di Indonesia</w:t>
      </w:r>
      <w:r w:rsidRPr="006E7DEE">
        <w:rPr>
          <w:rFonts w:ascii="Times New Roman" w:eastAsia="Times New Roman" w:hAnsi="Times New Roman" w:cs="Times New Roman"/>
          <w:color w:val="000000"/>
          <w:sz w:val="16"/>
          <w:szCs w:val="16"/>
        </w:rPr>
        <w:t>, (Jakarta: Bina Aksara, 1994), hlm. 15.</w:t>
      </w:r>
    </w:p>
  </w:footnote>
  <w:footnote w:id="10">
    <w:p w14:paraId="0000005B" w14:textId="77777777" w:rsidR="003768E2" w:rsidRPr="006E7DEE" w:rsidRDefault="008874A9" w:rsidP="006E7DEE">
      <w:pPr>
        <w:pBdr>
          <w:top w:val="nil"/>
          <w:left w:val="nil"/>
          <w:bottom w:val="nil"/>
          <w:right w:val="nil"/>
          <w:between w:val="nil"/>
        </w:pBdr>
        <w:spacing w:after="0" w:line="240" w:lineRule="auto"/>
        <w:ind w:firstLine="284"/>
        <w:rPr>
          <w:rFonts w:ascii="Times New Roman" w:eastAsia="Times New Roman" w:hAnsi="Times New Roman" w:cs="Times New Roman"/>
          <w:color w:val="000000"/>
          <w:sz w:val="16"/>
          <w:szCs w:val="16"/>
        </w:rPr>
      </w:pPr>
      <w:r w:rsidRPr="006E7DEE">
        <w:rPr>
          <w:rFonts w:ascii="Times New Roman" w:hAnsi="Times New Roman" w:cs="Times New Roman"/>
          <w:sz w:val="16"/>
          <w:szCs w:val="16"/>
          <w:vertAlign w:val="superscript"/>
        </w:rPr>
        <w:footnoteRef/>
      </w:r>
      <w:r w:rsidRPr="006E7DEE">
        <w:rPr>
          <w:rFonts w:ascii="Times New Roman" w:hAnsi="Times New Roman" w:cs="Times New Roman"/>
          <w:color w:val="000000"/>
          <w:sz w:val="16"/>
          <w:szCs w:val="16"/>
        </w:rPr>
        <w:t xml:space="preserve"> </w:t>
      </w:r>
      <w:proofErr w:type="gramStart"/>
      <w:r w:rsidRPr="006E7DEE">
        <w:rPr>
          <w:rFonts w:ascii="Times New Roman" w:eastAsia="Times New Roman" w:hAnsi="Times New Roman" w:cs="Times New Roman"/>
          <w:i/>
          <w:color w:val="000000"/>
          <w:sz w:val="16"/>
          <w:szCs w:val="16"/>
        </w:rPr>
        <w:t>Ibid</w:t>
      </w:r>
      <w:r w:rsidRPr="006E7DEE">
        <w:rPr>
          <w:rFonts w:ascii="Times New Roman" w:eastAsia="Times New Roman" w:hAnsi="Times New Roman" w:cs="Times New Roman"/>
          <w:color w:val="000000"/>
          <w:sz w:val="16"/>
          <w:szCs w:val="16"/>
        </w:rPr>
        <w:t>.,</w:t>
      </w:r>
      <w:proofErr w:type="gramEnd"/>
      <w:r w:rsidRPr="006E7DEE">
        <w:rPr>
          <w:rFonts w:ascii="Times New Roman" w:eastAsia="Times New Roman" w:hAnsi="Times New Roman" w:cs="Times New Roman"/>
          <w:color w:val="000000"/>
          <w:sz w:val="16"/>
          <w:szCs w:val="16"/>
        </w:rPr>
        <w:t xml:space="preserve"> hlm. 17.</w:t>
      </w:r>
    </w:p>
  </w:footnote>
  <w:footnote w:id="11">
    <w:p w14:paraId="0000005C" w14:textId="77777777" w:rsidR="003768E2" w:rsidRPr="006E7DEE" w:rsidRDefault="008874A9" w:rsidP="006E7DEE">
      <w:pPr>
        <w:pBdr>
          <w:top w:val="nil"/>
          <w:left w:val="nil"/>
          <w:bottom w:val="nil"/>
          <w:right w:val="nil"/>
          <w:between w:val="nil"/>
        </w:pBdr>
        <w:spacing w:after="0" w:line="240" w:lineRule="auto"/>
        <w:ind w:firstLine="284"/>
        <w:jc w:val="both"/>
        <w:rPr>
          <w:rFonts w:ascii="Times New Roman" w:eastAsia="Times New Roman" w:hAnsi="Times New Roman" w:cs="Times New Roman"/>
          <w:i/>
          <w:color w:val="000000"/>
          <w:sz w:val="16"/>
          <w:szCs w:val="16"/>
        </w:rPr>
      </w:pPr>
      <w:r w:rsidRPr="006E7DEE">
        <w:rPr>
          <w:rFonts w:ascii="Times New Roman" w:hAnsi="Times New Roman" w:cs="Times New Roman"/>
          <w:sz w:val="16"/>
          <w:szCs w:val="16"/>
          <w:vertAlign w:val="superscript"/>
        </w:rPr>
        <w:footnoteRef/>
      </w:r>
      <w:r w:rsidRPr="006E7DEE">
        <w:rPr>
          <w:rFonts w:ascii="Times New Roman" w:eastAsia="Times New Roman" w:hAnsi="Times New Roman" w:cs="Times New Roman"/>
          <w:color w:val="000000"/>
          <w:sz w:val="16"/>
          <w:szCs w:val="16"/>
        </w:rPr>
        <w:t xml:space="preserve"> SR Sianturi, </w:t>
      </w:r>
      <w:r w:rsidRPr="006E7DEE">
        <w:rPr>
          <w:rFonts w:ascii="Times New Roman" w:eastAsia="Times New Roman" w:hAnsi="Times New Roman" w:cs="Times New Roman"/>
          <w:i/>
          <w:color w:val="000000"/>
          <w:sz w:val="16"/>
          <w:szCs w:val="16"/>
        </w:rPr>
        <w:t>Hukum Pidana Militer di Indonesia</w:t>
      </w:r>
      <w:r w:rsidRPr="006E7DEE">
        <w:rPr>
          <w:rFonts w:ascii="Times New Roman" w:eastAsia="Times New Roman" w:hAnsi="Times New Roman" w:cs="Times New Roman"/>
          <w:color w:val="000000"/>
          <w:sz w:val="16"/>
          <w:szCs w:val="16"/>
        </w:rPr>
        <w:t>, cetakan ketiga, (Bandung: Alumni, 2018), hlm. 43.</w:t>
      </w:r>
    </w:p>
  </w:footnote>
  <w:footnote w:id="12">
    <w:p w14:paraId="0000005D" w14:textId="77777777" w:rsidR="003768E2" w:rsidRPr="006E7DEE" w:rsidRDefault="008874A9" w:rsidP="006E7DE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16"/>
          <w:szCs w:val="16"/>
        </w:rPr>
      </w:pPr>
      <w:r w:rsidRPr="006E7DEE">
        <w:rPr>
          <w:rFonts w:ascii="Times New Roman" w:hAnsi="Times New Roman" w:cs="Times New Roman"/>
          <w:sz w:val="16"/>
          <w:szCs w:val="16"/>
          <w:vertAlign w:val="superscript"/>
        </w:rPr>
        <w:footnoteRef/>
      </w:r>
      <w:r w:rsidRPr="006E7DEE">
        <w:rPr>
          <w:rFonts w:ascii="Times New Roman" w:eastAsia="Times New Roman" w:hAnsi="Times New Roman" w:cs="Times New Roman"/>
          <w:color w:val="000000"/>
          <w:sz w:val="16"/>
          <w:szCs w:val="16"/>
        </w:rPr>
        <w:t xml:space="preserve"> Pasal 94 Kitab Undang Undang Hukum Acara Pidana</w:t>
      </w:r>
    </w:p>
  </w:footnote>
  <w:footnote w:id="13">
    <w:p w14:paraId="0000005E" w14:textId="77777777" w:rsidR="003768E2" w:rsidRPr="006E7DEE" w:rsidRDefault="008874A9" w:rsidP="006E7DEE">
      <w:pPr>
        <w:pBdr>
          <w:top w:val="nil"/>
          <w:left w:val="nil"/>
          <w:bottom w:val="nil"/>
          <w:right w:val="nil"/>
          <w:between w:val="nil"/>
        </w:pBdr>
        <w:spacing w:after="0" w:line="240" w:lineRule="auto"/>
        <w:ind w:firstLine="284"/>
        <w:jc w:val="both"/>
        <w:rPr>
          <w:rFonts w:ascii="Times New Roman" w:hAnsi="Times New Roman" w:cs="Times New Roman"/>
          <w:color w:val="000000"/>
          <w:sz w:val="16"/>
          <w:szCs w:val="16"/>
        </w:rPr>
      </w:pPr>
      <w:r w:rsidRPr="006E7DEE">
        <w:rPr>
          <w:rFonts w:ascii="Times New Roman" w:hAnsi="Times New Roman" w:cs="Times New Roman"/>
          <w:sz w:val="16"/>
          <w:szCs w:val="16"/>
          <w:vertAlign w:val="superscript"/>
        </w:rPr>
        <w:footnoteRef/>
      </w:r>
      <w:r w:rsidRPr="006E7DEE">
        <w:rPr>
          <w:rFonts w:ascii="Times New Roman" w:eastAsia="Times New Roman" w:hAnsi="Times New Roman" w:cs="Times New Roman"/>
          <w:color w:val="000000"/>
          <w:sz w:val="16"/>
          <w:szCs w:val="16"/>
        </w:rPr>
        <w:t xml:space="preserve"> Martiman Prodjohamidjodjo, </w:t>
      </w:r>
      <w:r w:rsidRPr="006E7DEE">
        <w:rPr>
          <w:rFonts w:ascii="Times New Roman" w:eastAsia="Times New Roman" w:hAnsi="Times New Roman" w:cs="Times New Roman"/>
          <w:i/>
          <w:color w:val="000000"/>
          <w:sz w:val="16"/>
          <w:szCs w:val="16"/>
        </w:rPr>
        <w:t>Komentar Atas KUHAP</w:t>
      </w:r>
      <w:r w:rsidRPr="006E7DEE">
        <w:rPr>
          <w:rFonts w:ascii="Times New Roman" w:eastAsia="Times New Roman" w:hAnsi="Times New Roman" w:cs="Times New Roman"/>
          <w:color w:val="000000"/>
          <w:sz w:val="16"/>
          <w:szCs w:val="16"/>
        </w:rPr>
        <w:t>, (Jakarta: Sinar Grafika, 2006), hlm. 33.</w:t>
      </w:r>
    </w:p>
  </w:footnote>
  <w:footnote w:id="14">
    <w:p w14:paraId="0000005F" w14:textId="77777777" w:rsidR="003768E2" w:rsidRPr="006E7DEE" w:rsidRDefault="008874A9" w:rsidP="006E7DE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16"/>
          <w:szCs w:val="16"/>
        </w:rPr>
      </w:pPr>
      <w:r w:rsidRPr="006E7DEE">
        <w:rPr>
          <w:rFonts w:ascii="Times New Roman" w:hAnsi="Times New Roman" w:cs="Times New Roman"/>
          <w:sz w:val="16"/>
          <w:szCs w:val="16"/>
          <w:vertAlign w:val="superscript"/>
        </w:rPr>
        <w:footnoteRef/>
      </w:r>
      <w:r w:rsidRPr="006E7DEE">
        <w:rPr>
          <w:rFonts w:ascii="Times New Roman" w:hAnsi="Times New Roman" w:cs="Times New Roman"/>
          <w:color w:val="000000"/>
          <w:sz w:val="16"/>
          <w:szCs w:val="16"/>
        </w:rPr>
        <w:t xml:space="preserve"> </w:t>
      </w:r>
      <w:proofErr w:type="gramStart"/>
      <w:r w:rsidRPr="006E7DEE">
        <w:rPr>
          <w:rFonts w:ascii="Times New Roman" w:eastAsia="Times New Roman" w:hAnsi="Times New Roman" w:cs="Times New Roman"/>
          <w:i/>
          <w:color w:val="000000"/>
          <w:sz w:val="16"/>
          <w:szCs w:val="16"/>
        </w:rPr>
        <w:t>Ibid</w:t>
      </w:r>
      <w:r w:rsidRPr="006E7DEE">
        <w:rPr>
          <w:rFonts w:ascii="Times New Roman" w:eastAsia="Times New Roman" w:hAnsi="Times New Roman" w:cs="Times New Roman"/>
          <w:color w:val="000000"/>
          <w:sz w:val="16"/>
          <w:szCs w:val="16"/>
        </w:rPr>
        <w:t>.,</w:t>
      </w:r>
      <w:proofErr w:type="gramEnd"/>
      <w:r w:rsidRPr="006E7DEE">
        <w:rPr>
          <w:rFonts w:ascii="Times New Roman" w:eastAsia="Times New Roman" w:hAnsi="Times New Roman" w:cs="Times New Roman"/>
          <w:color w:val="000000"/>
          <w:sz w:val="16"/>
          <w:szCs w:val="16"/>
        </w:rPr>
        <w:t xml:space="preserve"> hlm. 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108" w:type="dxa"/>
      <w:tblLook w:val="04A0" w:firstRow="1" w:lastRow="0" w:firstColumn="1" w:lastColumn="0" w:noHBand="0" w:noVBand="1"/>
    </w:tblPr>
    <w:tblGrid>
      <w:gridCol w:w="709"/>
      <w:gridCol w:w="8363"/>
    </w:tblGrid>
    <w:tr w:rsidR="00805042" w:rsidRPr="00D7301D" w14:paraId="643E523A" w14:textId="77777777" w:rsidTr="001E03A5">
      <w:tc>
        <w:tcPr>
          <w:tcW w:w="709" w:type="dxa"/>
          <w:shd w:val="clear" w:color="auto" w:fill="00B050"/>
        </w:tcPr>
        <w:p w14:paraId="4B1BDF1C" w14:textId="77777777" w:rsidR="00805042" w:rsidRPr="002473DC" w:rsidRDefault="00805042" w:rsidP="001E03A5">
          <w:pPr>
            <w:pStyle w:val="Header"/>
            <w:spacing w:before="40" w:after="40"/>
            <w:ind w:right="-2"/>
            <w:jc w:val="center"/>
            <w:rPr>
              <w:rFonts w:ascii="Times New Roman" w:hAnsi="Times New Roman"/>
              <w:b/>
              <w:i/>
              <w:color w:val="FFFFFF"/>
              <w:sz w:val="24"/>
              <w:szCs w:val="24"/>
              <w:lang w:val="id-ID"/>
            </w:rPr>
          </w:pPr>
          <w:r w:rsidRPr="002473DC">
            <w:rPr>
              <w:rFonts w:ascii="Times New Roman" w:hAnsi="Times New Roman"/>
              <w:b/>
              <w:i/>
              <w:color w:val="FFFFFF"/>
              <w:sz w:val="24"/>
              <w:szCs w:val="24"/>
            </w:rPr>
            <w:t>202</w:t>
          </w:r>
          <w:r w:rsidRPr="002473DC">
            <w:rPr>
              <w:rFonts w:ascii="Times New Roman" w:hAnsi="Times New Roman"/>
              <w:b/>
              <w:i/>
              <w:color w:val="FFFFFF"/>
              <w:sz w:val="24"/>
              <w:szCs w:val="24"/>
              <w:lang w:val="id-ID"/>
            </w:rPr>
            <w:t>3</w:t>
          </w:r>
        </w:p>
      </w:tc>
      <w:tc>
        <w:tcPr>
          <w:tcW w:w="8363" w:type="dxa"/>
          <w:shd w:val="clear" w:color="auto" w:fill="FFC000"/>
        </w:tcPr>
        <w:p w14:paraId="074B0653" w14:textId="77777777" w:rsidR="00805042" w:rsidRPr="002473DC" w:rsidRDefault="00805042" w:rsidP="001E03A5">
          <w:pPr>
            <w:pStyle w:val="Header"/>
            <w:spacing w:before="40" w:after="40"/>
            <w:rPr>
              <w:rFonts w:ascii="Times New Roman" w:hAnsi="Times New Roman"/>
              <w:b/>
              <w:i/>
              <w:color w:val="FFFFFF"/>
              <w:sz w:val="24"/>
              <w:szCs w:val="24"/>
              <w:lang w:val="id-ID"/>
            </w:rPr>
          </w:pPr>
          <w:r w:rsidRPr="002473DC">
            <w:rPr>
              <w:rFonts w:ascii="Times New Roman" w:hAnsi="Times New Roman"/>
              <w:b/>
              <w:i/>
              <w:color w:val="FFFFFF"/>
              <w:sz w:val="24"/>
              <w:szCs w:val="24"/>
              <w:lang w:val="id-ID"/>
            </w:rPr>
            <w:t>Madani : Jurnal Ilmiah Multidisipline</w:t>
          </w:r>
        </w:p>
      </w:tc>
    </w:tr>
  </w:tbl>
  <w:p w14:paraId="3AB01CD9" w14:textId="77777777" w:rsidR="00805042" w:rsidRDefault="008050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118DD"/>
    <w:multiLevelType w:val="multilevel"/>
    <w:tmpl w:val="223A5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3B476D"/>
    <w:multiLevelType w:val="multilevel"/>
    <w:tmpl w:val="ED463B2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18070E"/>
    <w:multiLevelType w:val="multilevel"/>
    <w:tmpl w:val="A8E61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DF052C6"/>
    <w:multiLevelType w:val="multilevel"/>
    <w:tmpl w:val="5EF6728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419F2FF3"/>
    <w:multiLevelType w:val="multilevel"/>
    <w:tmpl w:val="79680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768E2"/>
    <w:rsid w:val="003768E2"/>
    <w:rsid w:val="006E7DEE"/>
    <w:rsid w:val="00805042"/>
    <w:rsid w:val="008874A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uiPriority w:val="99"/>
    <w:unhideWhenUsed/>
    <w:rsid w:val="00805042"/>
    <w:rPr>
      <w:color w:val="0563C1"/>
      <w:u w:val="single"/>
    </w:rPr>
  </w:style>
  <w:style w:type="paragraph" w:styleId="Header">
    <w:name w:val="header"/>
    <w:basedOn w:val="Normal"/>
    <w:link w:val="HeaderChar"/>
    <w:uiPriority w:val="99"/>
    <w:unhideWhenUsed/>
    <w:rsid w:val="008050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042"/>
  </w:style>
  <w:style w:type="paragraph" w:styleId="Footer">
    <w:name w:val="footer"/>
    <w:basedOn w:val="Normal"/>
    <w:link w:val="FooterChar"/>
    <w:uiPriority w:val="99"/>
    <w:unhideWhenUsed/>
    <w:rsid w:val="00805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0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uiPriority w:val="99"/>
    <w:unhideWhenUsed/>
    <w:rsid w:val="00805042"/>
    <w:rPr>
      <w:color w:val="0563C1"/>
      <w:u w:val="single"/>
    </w:rPr>
  </w:style>
  <w:style w:type="paragraph" w:styleId="Header">
    <w:name w:val="header"/>
    <w:basedOn w:val="Normal"/>
    <w:link w:val="HeaderChar"/>
    <w:uiPriority w:val="99"/>
    <w:unhideWhenUsed/>
    <w:rsid w:val="008050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042"/>
  </w:style>
  <w:style w:type="paragraph" w:styleId="Footer">
    <w:name w:val="footer"/>
    <w:basedOn w:val="Normal"/>
    <w:link w:val="FooterChar"/>
    <w:uiPriority w:val="99"/>
    <w:unhideWhenUsed/>
    <w:rsid w:val="00805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issn.brin.go.id/terbit/detail/20230313490179131"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rwantriadi1@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110611228@mahasiswa.upnvj.ac.id" TargetMode="External"/><Relationship Id="rId4" Type="http://schemas.openxmlformats.org/officeDocument/2006/relationships/settings" Target="settings.xml"/><Relationship Id="rId9" Type="http://schemas.openxmlformats.org/officeDocument/2006/relationships/hyperlink" Target="https://doi.org/10.5281/zenodo.101491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3281</Words>
  <Characters>18705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bunga</dc:creator>
  <cp:lastModifiedBy>ACER</cp:lastModifiedBy>
  <cp:revision>2</cp:revision>
  <dcterms:created xsi:type="dcterms:W3CDTF">2023-11-17T12:26:00Z</dcterms:created>
  <dcterms:modified xsi:type="dcterms:W3CDTF">2023-11-17T12:26:00Z</dcterms:modified>
</cp:coreProperties>
</file>